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D08" w:rsidRDefault="00B70D08">
      <w:pPr>
        <w:pStyle w:val="Standard"/>
        <w:rPr>
          <w:lang w:eastAsia="ar-SA"/>
        </w:rPr>
      </w:pPr>
    </w:p>
    <w:p w:rsidR="00B70D08" w:rsidRDefault="00263288">
      <w:pPr>
        <w:pStyle w:val="Standard"/>
        <w:spacing w:line="276" w:lineRule="auto"/>
        <w:ind w:firstLine="709"/>
        <w:jc w:val="center"/>
        <w:rPr>
          <w:lang w:eastAsia="ar-SA"/>
        </w:rPr>
      </w:pPr>
      <w:bookmarkStart w:id="0" w:name="_GoBack"/>
      <w:r>
        <w:rPr>
          <w:b/>
          <w:bCs/>
          <w:sz w:val="26"/>
          <w:szCs w:val="26"/>
          <w:lang w:eastAsia="ar-SA"/>
        </w:rPr>
        <w:t>Информация об экспертно-аналитическом мероприятии по проекту решения Земского Собрания Грязовецкого муниципального округа</w:t>
      </w:r>
    </w:p>
    <w:p w:rsidR="00B70D08" w:rsidRDefault="00263288">
      <w:pPr>
        <w:pStyle w:val="Standard"/>
        <w:jc w:val="center"/>
        <w:rPr>
          <w:lang w:eastAsia="ar-SA"/>
        </w:rPr>
      </w:pPr>
      <w:r>
        <w:rPr>
          <w:lang w:eastAsia="ar-SA"/>
        </w:rPr>
        <w:t xml:space="preserve"> «О Дорожном фонде Грязовецкого муниципального округа </w:t>
      </w:r>
      <w:r>
        <w:rPr>
          <w:lang w:eastAsia="ar-SA"/>
        </w:rPr>
        <w:t>Вологодской области»</w:t>
      </w:r>
    </w:p>
    <w:bookmarkEnd w:id="0"/>
    <w:p w:rsidR="00B70D08" w:rsidRDefault="00B70D08">
      <w:pPr>
        <w:pStyle w:val="Standard"/>
        <w:ind w:firstLine="708"/>
        <w:jc w:val="both"/>
        <w:rPr>
          <w:color w:val="FF0000"/>
          <w:sz w:val="26"/>
          <w:szCs w:val="26"/>
        </w:rPr>
      </w:pPr>
    </w:p>
    <w:p w:rsidR="00B70D08" w:rsidRDefault="00B70D08">
      <w:pPr>
        <w:pStyle w:val="Standard"/>
        <w:ind w:firstLine="708"/>
        <w:jc w:val="both"/>
        <w:rPr>
          <w:color w:val="FF0000"/>
          <w:sz w:val="26"/>
          <w:szCs w:val="26"/>
        </w:rPr>
      </w:pPr>
    </w:p>
    <w:p w:rsidR="00B70D08" w:rsidRDefault="00263288">
      <w:pPr>
        <w:pStyle w:val="Standard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Экспертиза проекта решения </w:t>
      </w:r>
      <w:r>
        <w:rPr>
          <w:sz w:val="26"/>
          <w:szCs w:val="26"/>
          <w:lang w:eastAsia="ar-SA"/>
        </w:rPr>
        <w:t>Земского собрания Грязовецкого муниципального округа   «О Дорожном фонде Грязовецкого муниципального округа Вологодской области»</w:t>
      </w:r>
      <w:r>
        <w:rPr>
          <w:sz w:val="26"/>
          <w:szCs w:val="26"/>
        </w:rPr>
        <w:t xml:space="preserve"> (далее — проект решения) проведена  в соответствии со статьей 157 Бюджетного </w:t>
      </w:r>
      <w:r>
        <w:rPr>
          <w:sz w:val="26"/>
          <w:szCs w:val="26"/>
        </w:rPr>
        <w:t>кодекса Российской Федерации (далее БК РФ), со ст. 8  Положения о Контрольно-счётной палате Грязовецкого муниципального района, утвержденного решением Земского Собрания Грязовецкого муниципального района от 17 декабря 2021 года №197 и иными нормативными пр</w:t>
      </w:r>
      <w:r>
        <w:rPr>
          <w:sz w:val="26"/>
          <w:szCs w:val="26"/>
        </w:rPr>
        <w:t>авовыми актами.</w:t>
      </w:r>
    </w:p>
    <w:p w:rsidR="00B70D08" w:rsidRDefault="00263288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Проект решения разработан с целью реализации п.5 статьи 179.4 Бюджетного Кодекса Российской Федерации.</w:t>
      </w:r>
    </w:p>
    <w:p w:rsidR="00B70D08" w:rsidRDefault="00263288">
      <w:pPr>
        <w:pStyle w:val="Standard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Проектом решения предлагается  создать с 1 января 2023 года Дорожный фонд Грязовецкого муниципального округа (далее - Фонд) и утвердить </w:t>
      </w:r>
      <w:r>
        <w:rPr>
          <w:bCs/>
          <w:sz w:val="26"/>
          <w:szCs w:val="26"/>
        </w:rPr>
        <w:t>порядок формирования и использования бюджетных ассигнований Дорожного фонда Грязовецкого муниципального округа Вологодской области (далее Порядок)  и распространить действие на правоотношения с 01 января 2023  года.</w:t>
      </w:r>
    </w:p>
    <w:p w:rsidR="00B70D08" w:rsidRDefault="00263288">
      <w:pPr>
        <w:pStyle w:val="Standard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результатам проведения экспертизы про</w:t>
      </w:r>
      <w:r>
        <w:rPr>
          <w:sz w:val="26"/>
          <w:szCs w:val="26"/>
        </w:rPr>
        <w:t>екта решения предложено з</w:t>
      </w:r>
      <w:r>
        <w:rPr>
          <w:rFonts w:eastAsia="Arial" w:cs="Arial"/>
          <w:sz w:val="26"/>
          <w:szCs w:val="26"/>
        </w:rPr>
        <w:t>акрепить право использование средств Дорожного фонда округа несколькими главными распорядителями бюджетных средств  округа, предусмотреть ответственностью за нецелевое использование средств Дорожного фонда округа, предусмотреть пре</w:t>
      </w:r>
      <w:r>
        <w:rPr>
          <w:rFonts w:eastAsia="Arial" w:cs="Arial"/>
          <w:sz w:val="26"/>
          <w:szCs w:val="26"/>
        </w:rPr>
        <w:t>доставление отчёта об использовании средств дорожного фонда иными главными распорядителями в Администрацию Грязовецкого  округа.</w:t>
      </w:r>
    </w:p>
    <w:p w:rsidR="00B70D08" w:rsidRDefault="0026328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bCs/>
          <w:sz w:val="26"/>
          <w:szCs w:val="26"/>
        </w:rPr>
        <w:t>Заключение от 08.12.2022 года направлено Главе Грязовецкого муниципального округа, Председателю Земского собрания ок</w:t>
      </w:r>
      <w:r>
        <w:rPr>
          <w:bCs/>
          <w:sz w:val="26"/>
          <w:szCs w:val="26"/>
        </w:rPr>
        <w:t>руга,  в Управление финансов Грязовецкого муниципального района, в Администрацию Грязовецкого муниципального района.</w:t>
      </w:r>
    </w:p>
    <w:p w:rsidR="00B70D08" w:rsidRDefault="00263288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sectPr w:rsidR="00B70D08">
      <w:pgSz w:w="11906" w:h="16838"/>
      <w:pgMar w:top="1134" w:right="941" w:bottom="1134" w:left="11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63288">
      <w:pPr>
        <w:spacing w:after="0" w:line="240" w:lineRule="auto"/>
      </w:pPr>
      <w:r>
        <w:separator/>
      </w:r>
    </w:p>
  </w:endnote>
  <w:endnote w:type="continuationSeparator" w:id="0">
    <w:p w:rsidR="00000000" w:rsidRDefault="0026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6328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263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70D08"/>
    <w:rsid w:val="00263288"/>
    <w:rsid w:val="00B7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9C2FE-9F1D-40AA-BEC7-E98BFBD8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footnote text"/>
    <w:basedOn w:val="Standard"/>
    <w:rPr>
      <w:sz w:val="20"/>
      <w:szCs w:val="20"/>
    </w:rPr>
  </w:style>
  <w:style w:type="paragraph" w:customStyle="1" w:styleId="1">
    <w:name w:val="Абзац списка1"/>
    <w:basedOn w:val="Standard"/>
    <w:pPr>
      <w:ind w:left="720"/>
    </w:pPr>
    <w:rPr>
      <w:rFonts w:eastAsia="Calibri"/>
    </w:rPr>
  </w:style>
  <w:style w:type="paragraph" w:styleId="a6">
    <w:name w:val="header"/>
    <w:basedOn w:val="Standard"/>
    <w:pPr>
      <w:suppressLineNumbers/>
      <w:tabs>
        <w:tab w:val="center" w:pos="4677"/>
        <w:tab w:val="right" w:pos="9355"/>
      </w:tabs>
    </w:pPr>
  </w:style>
  <w:style w:type="paragraph" w:styleId="a7">
    <w:name w:val="footer"/>
    <w:basedOn w:val="Standard"/>
    <w:pPr>
      <w:suppressLineNumbers/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Normal (Web)"/>
    <w:basedOn w:val="Standard"/>
    <w:pPr>
      <w:spacing w:before="100" w:after="100"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basedOn w:val="a0"/>
    <w:rPr>
      <w:color w:val="0000FF"/>
      <w:u w:val="single"/>
    </w:rPr>
  </w:style>
  <w:style w:type="character" w:customStyle="1" w:styleId="a9">
    <w:name w:val="Текст сноски Знак"/>
    <w:basedOn w:val="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rPr>
      <w:position w:val="0"/>
      <w:vertAlign w:val="superscript"/>
    </w:rPr>
  </w:style>
  <w:style w:type="character" w:customStyle="1" w:styleId="ab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2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ksp4</dc:creator>
  <cp:lastModifiedBy>А.М. Веретьева</cp:lastModifiedBy>
  <cp:revision>2</cp:revision>
  <dcterms:created xsi:type="dcterms:W3CDTF">2022-12-08T13:25:00Z</dcterms:created>
  <dcterms:modified xsi:type="dcterms:W3CDTF">2022-12-08T13:25:00Z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