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5103" w:right="0" w:hanging="0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cs="Times New Roman" w:ascii="Times New Roman" w:hAnsi="Times New Roman"/>
          <w:sz w:val="22"/>
          <w:szCs w:val="22"/>
          <w:lang w:eastAsia="ar-SA"/>
        </w:rPr>
        <w:t>УТВЕРЖДЕНА</w:t>
      </w:r>
    </w:p>
    <w:p>
      <w:pPr>
        <w:pStyle w:val="Normal"/>
        <w:widowControl w:val="false"/>
        <w:spacing w:lineRule="auto" w:line="240" w:before="0" w:after="0"/>
        <w:ind w:left="5103" w:right="0" w:hanging="0"/>
        <w:jc w:val="both"/>
        <w:rPr/>
      </w:pPr>
      <w:r>
        <w:rPr>
          <w:rFonts w:cs="Times New Roman" w:ascii="Times New Roman" w:hAnsi="Times New Roman"/>
          <w:sz w:val="22"/>
          <w:szCs w:val="22"/>
          <w:lang w:eastAsia="ar-SA"/>
        </w:rPr>
        <w:t xml:space="preserve">постановлением </w:t>
      </w:r>
      <w:r>
        <w:rPr>
          <w:rFonts w:cs="Times New Roman" w:ascii="Times New Roman" w:hAnsi="Times New Roman"/>
          <w:color w:val="000000"/>
          <w:sz w:val="22"/>
          <w:szCs w:val="22"/>
          <w:shd w:fill="auto" w:val="clear"/>
          <w:lang w:eastAsia="ar-SA"/>
        </w:rPr>
        <w:t xml:space="preserve">администрации </w:t>
      </w:r>
      <w:r>
        <w:rPr>
          <w:rFonts w:cs="Times New Roman" w:ascii="Times New Roman" w:hAnsi="Times New Roman"/>
          <w:color w:val="000000"/>
          <w:sz w:val="22"/>
          <w:szCs w:val="22"/>
          <w:shd w:fill="auto" w:val="clear"/>
        </w:rPr>
        <w:t>Грязо</w:t>
        <w:softHyphen/>
        <w:t>вецкого муниципального ра</w:t>
      </w:r>
      <w:r>
        <w:rPr>
          <w:rFonts w:cs="Times New Roman" w:ascii="Times New Roman" w:hAnsi="Times New Roman"/>
          <w:color w:val="000000"/>
          <w:sz w:val="22"/>
          <w:szCs w:val="22"/>
          <w:shd w:fill="auto" w:val="clear"/>
          <w:lang w:eastAsia="ar-SA"/>
        </w:rPr>
        <w:t xml:space="preserve">йона от </w:t>
      </w:r>
      <w:r>
        <w:rPr>
          <w:rFonts w:eastAsia="Calibri" w:cs="Times New Roman" w:ascii="Times New Roman" w:hAnsi="Times New Roman"/>
          <w:color w:val="000000"/>
          <w:kern w:val="0"/>
          <w:sz w:val="22"/>
          <w:szCs w:val="22"/>
          <w:shd w:fill="auto" w:val="clear"/>
          <w:lang w:val="ru-RU" w:eastAsia="ar-SA" w:bidi="ar-SA"/>
        </w:rPr>
        <w:t>30.10.</w:t>
      </w:r>
      <w:r>
        <w:rPr>
          <w:rFonts w:cs="Times New Roman" w:ascii="Times New Roman" w:hAnsi="Times New Roman"/>
          <w:color w:val="000000"/>
          <w:sz w:val="22"/>
          <w:szCs w:val="22"/>
          <w:shd w:fill="auto" w:val="clear"/>
          <w:lang w:eastAsia="ar-SA"/>
        </w:rPr>
        <w:t>2020 № 516</w:t>
      </w:r>
    </w:p>
    <w:p>
      <w:pPr>
        <w:pStyle w:val="Normal"/>
        <w:widowControl w:val="false"/>
        <w:spacing w:lineRule="auto" w:line="240" w:before="0" w:after="0"/>
        <w:ind w:left="5103" w:right="0" w:hanging="0"/>
        <w:jc w:val="both"/>
        <w:rPr/>
      </w:pPr>
      <w:r>
        <w:rPr>
          <w:rFonts w:cs="Times New Roman" w:ascii="Times New Roman" w:hAnsi="Times New Roman"/>
          <w:sz w:val="22"/>
          <w:szCs w:val="22"/>
          <w:lang w:eastAsia="ar-SA"/>
        </w:rPr>
        <w:t xml:space="preserve">в редакции 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eastAsia="ar-SA"/>
        </w:rPr>
        <w:t xml:space="preserve">постановлений администрации Грязовецкого муниципального района от 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ar-SA"/>
        </w:rPr>
        <w:t xml:space="preserve">12.03.2021 № 102, от 23.04.2021 № 188, от 21.06.2021 №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ar-SA" w:bidi="ar-SA"/>
        </w:rPr>
        <w:t>284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ar-SA"/>
        </w:rPr>
        <w:t xml:space="preserve">, от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ar-SA" w:bidi="ar-SA"/>
        </w:rPr>
        <w:t>14.07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ar-SA"/>
        </w:rPr>
        <w:t xml:space="preserve">.2021 №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ar-SA" w:bidi="ar-SA"/>
        </w:rPr>
        <w:t>347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ar-SA"/>
        </w:rPr>
        <w:t xml:space="preserve">, от 29.09.2021 №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ar-SA" w:bidi="ar-SA"/>
        </w:rPr>
        <w:t>499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ar-SA"/>
        </w:rPr>
        <w:t xml:space="preserve">, от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ar-SA" w:bidi="ar-SA"/>
        </w:rPr>
        <w:t>10.11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ar-SA"/>
        </w:rPr>
        <w:t xml:space="preserve">.2021 №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ar-SA" w:bidi="ar-SA"/>
        </w:rPr>
        <w:t>583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ar-SA"/>
        </w:rPr>
        <w:t xml:space="preserve">, от 10.12.2021 №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ar-SA" w:bidi="ar-SA"/>
        </w:rPr>
        <w:t>635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ar-SA"/>
        </w:rPr>
        <w:t>, от 2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ar-SA" w:bidi="ar-SA"/>
        </w:rPr>
        <w:t>9.12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ar-SA"/>
        </w:rPr>
        <w:t xml:space="preserve">.2021 №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ar-SA" w:bidi="ar-SA"/>
        </w:rPr>
        <w:t xml:space="preserve">687, от 25.01.2022 № 23, от 14.02.2022 № 42, от 14.03.2022 № 92,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ar-SA" w:bidi="ar-SA"/>
        </w:rPr>
        <w:t xml:space="preserve">от 12.05.2022 № 214, от 16.06.2022 №  296, от 24.06.2022 № 324, от 24.06.2022 № 325, от 19.09.2022 № 492,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ar-SA" w:bidi="ar-SA"/>
        </w:rPr>
        <w:t xml:space="preserve">от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ar-SA" w:bidi="ar-SA"/>
        </w:rPr>
        <w:t>06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ar-SA" w:bidi="ar-SA"/>
        </w:rPr>
        <w:t>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ar-SA" w:bidi="ar-SA"/>
        </w:rPr>
        <w:t>12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ar-SA" w:bidi="ar-SA"/>
        </w:rPr>
        <w:t xml:space="preserve">.2022 №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ar-SA" w:bidi="ar-SA"/>
        </w:rPr>
        <w:t>668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ar-SA" w:bidi="ar-SA"/>
        </w:rPr>
        <w:t xml:space="preserve"> </w:t>
      </w:r>
    </w:p>
    <w:p>
      <w:pPr>
        <w:pStyle w:val="NoSpacing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Spacing"/>
        <w:jc w:val="center"/>
        <w:rPr>
          <w:rFonts w:ascii="Bookman Old Style" w:hAnsi="Bookman Old Style"/>
          <w:b/>
          <w:b/>
          <w:color w:val="000000"/>
          <w:sz w:val="24"/>
          <w:szCs w:val="24"/>
          <w:lang w:eastAsia="ru-RU"/>
        </w:rPr>
      </w:pPr>
      <w:r>
        <w:rPr>
          <w:rFonts w:ascii="Bookman Old Style" w:hAnsi="Bookman Old Style"/>
          <w:b/>
          <w:color w:val="000000"/>
          <w:sz w:val="24"/>
          <w:szCs w:val="24"/>
          <w:lang w:eastAsia="ru-RU"/>
        </w:rPr>
        <w:t>МУНИЦИПАЛЬНАЯ ПРОГРАММА</w:t>
      </w:r>
    </w:p>
    <w:p>
      <w:pPr>
        <w:pStyle w:val="NoSpacing"/>
        <w:jc w:val="center"/>
        <w:rPr>
          <w:rFonts w:ascii="Bookman Old Style" w:hAnsi="Bookman Old Style"/>
          <w:b/>
          <w:b/>
          <w:color w:val="000000"/>
          <w:sz w:val="24"/>
          <w:szCs w:val="24"/>
          <w:lang w:eastAsia="ru-RU"/>
        </w:rPr>
      </w:pPr>
      <w:r>
        <w:rPr>
          <w:rFonts w:ascii="Bookman Old Style" w:hAnsi="Bookman Old Style"/>
          <w:b/>
          <w:color w:val="000000"/>
          <w:sz w:val="24"/>
          <w:szCs w:val="24"/>
          <w:lang w:eastAsia="ru-RU"/>
        </w:rPr>
        <w:t>«РАЗВИТИЕ ФИЗИЧЕСКОЙ КУЛЬТУРЫ И СПОРТА</w:t>
      </w:r>
    </w:p>
    <w:p>
      <w:pPr>
        <w:pStyle w:val="NoSpacing"/>
        <w:jc w:val="center"/>
        <w:rPr>
          <w:rFonts w:ascii="Bookman Old Style" w:hAnsi="Bookman Old Style"/>
          <w:b/>
          <w:b/>
          <w:color w:val="000000"/>
          <w:sz w:val="24"/>
          <w:szCs w:val="24"/>
          <w:lang w:eastAsia="ru-RU"/>
        </w:rPr>
      </w:pPr>
      <w:r>
        <w:rPr>
          <w:rFonts w:ascii="Bookman Old Style" w:hAnsi="Bookman Old Style"/>
          <w:b/>
          <w:color w:val="000000"/>
          <w:sz w:val="24"/>
          <w:szCs w:val="24"/>
          <w:lang w:eastAsia="ru-RU"/>
        </w:rPr>
        <w:t>В ГРЯЗОВЕЦКОМ  МУНИЦИПАЛЬНОМ РАЙОНЕ   НА 2021 - 2025 ГОДЫ»</w:t>
      </w:r>
    </w:p>
    <w:p>
      <w:pPr>
        <w:pStyle w:val="NoSpacing"/>
        <w:jc w:val="center"/>
        <w:rPr>
          <w:rFonts w:ascii="Bookman Old Style" w:hAnsi="Bookman Old Style"/>
          <w:b/>
          <w:b/>
          <w:color w:val="000000"/>
          <w:sz w:val="24"/>
          <w:szCs w:val="24"/>
          <w:lang w:eastAsia="ru-RU"/>
        </w:rPr>
      </w:pPr>
      <w:r>
        <w:rPr>
          <w:rFonts w:ascii="Bookman Old Style" w:hAnsi="Bookman Old Style"/>
          <w:b/>
          <w:color w:val="000000"/>
          <w:sz w:val="24"/>
          <w:szCs w:val="24"/>
          <w:lang w:eastAsia="ru-RU"/>
        </w:rPr>
        <w:t>(далее – муниципальная программа)</w:t>
      </w:r>
    </w:p>
    <w:p>
      <w:pPr>
        <w:pStyle w:val="Normal"/>
        <w:widowControl w:val="false"/>
        <w:spacing w:lineRule="exact" w:line="300" w:before="0" w:after="0"/>
        <w:rPr>
          <w:rFonts w:ascii="Bookman Old Style" w:hAnsi="Bookman Old Style" w:eastAsia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exact" w:line="300" w:before="0" w:after="0"/>
        <w:jc w:val="center"/>
        <w:rPr>
          <w:rFonts w:ascii="Bookman Old Style" w:hAnsi="Bookman Old Style" w:eastAsia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ascii="Bookman Old Style" w:hAnsi="Bookman Old Style"/>
          <w:b/>
          <w:kern w:val="2"/>
          <w:sz w:val="24"/>
          <w:szCs w:val="24"/>
          <w:lang w:eastAsia="hi-IN" w:bidi="hi-IN"/>
        </w:rPr>
        <w:t>ПАСПОРТ</w:t>
      </w:r>
    </w:p>
    <w:p>
      <w:pPr>
        <w:pStyle w:val="Normal"/>
        <w:widowControl w:val="false"/>
        <w:spacing w:lineRule="exact" w:line="300" w:before="0" w:after="0"/>
        <w:jc w:val="center"/>
        <w:rPr>
          <w:rFonts w:ascii="Bookman Old Style" w:hAnsi="Bookman Old Style" w:eastAsia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ascii="Bookman Old Style" w:hAnsi="Bookman Old Style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Times New Roman" w:ascii="Bookman Old Style" w:hAnsi="Bookman Old Style"/>
          <w:b/>
          <w:kern w:val="2"/>
          <w:sz w:val="24"/>
          <w:szCs w:val="24"/>
          <w:lang w:eastAsia="hi-IN" w:bidi="hi-IN"/>
        </w:rPr>
        <w:t xml:space="preserve">МУНИЦИПАЛЬНОЙ ПРОГРАММЫ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Times New Roman"/>
          <w:kern w:val="2"/>
          <w:sz w:val="24"/>
          <w:szCs w:val="24"/>
          <w:lang w:eastAsia="hi-IN" w:bidi="hi-IN"/>
        </w:rPr>
      </w:pPr>
      <w:r>
        <w:rPr>
          <w:rFonts w:eastAsia="Times New Roman" w:ascii="Bookman Old Style" w:hAnsi="Bookman Old Style"/>
          <w:kern w:val="2"/>
          <w:sz w:val="24"/>
          <w:szCs w:val="24"/>
          <w:lang w:eastAsia="hi-IN" w:bidi="hi-IN"/>
        </w:rPr>
      </w:r>
    </w:p>
    <w:tbl>
      <w:tblPr>
        <w:tblW w:w="4950" w:type="pct"/>
        <w:jc w:val="left"/>
        <w:tblInd w:w="34" w:type="dxa"/>
        <w:tblLayout w:type="fixed"/>
        <w:tblCellMar>
          <w:top w:w="85" w:type="dxa"/>
          <w:left w:w="142" w:type="dxa"/>
          <w:bottom w:w="85" w:type="dxa"/>
          <w:right w:w="142" w:type="dxa"/>
        </w:tblCellMar>
        <w:tblLook w:firstRow="1" w:noVBand="0" w:lastRow="1" w:firstColumn="1" w:lastColumn="1" w:noHBand="0" w:val="01e0"/>
      </w:tblPr>
      <w:tblGrid>
        <w:gridCol w:w="2142"/>
        <w:gridCol w:w="7118"/>
      </w:tblGrid>
      <w:tr>
        <w:trPr/>
        <w:tc>
          <w:tcPr>
            <w:tcW w:w="21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Ответственный исполнитель муниципальной программы</w:t>
            </w:r>
          </w:p>
        </w:tc>
        <w:tc>
          <w:tcPr>
            <w:tcW w:w="71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</w:tr>
      <w:tr>
        <w:trPr/>
        <w:tc>
          <w:tcPr>
            <w:tcW w:w="21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Соисполнители муниципальной программы</w:t>
            </w:r>
          </w:p>
        </w:tc>
        <w:tc>
          <w:tcPr>
            <w:tcW w:w="71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нет</w:t>
            </w:r>
          </w:p>
        </w:tc>
      </w:tr>
      <w:tr>
        <w:trPr/>
        <w:tc>
          <w:tcPr>
            <w:tcW w:w="21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ascii="Bookman Old Style" w:hAnsi="Bookman Old Style"/>
                <w:kern w:val="2"/>
                <w:sz w:val="24"/>
                <w:szCs w:val="24"/>
                <w:lang w:eastAsia="hi-IN" w:bidi="hi-IN"/>
              </w:rPr>
              <w:t>Участник</w:t>
            </w: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и муниципальной программы</w:t>
            </w:r>
          </w:p>
        </w:tc>
        <w:tc>
          <w:tcPr>
            <w:tcW w:w="71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ascii="Times New Roman" w:hAnsi="Times New Roman"/>
                <w:kern w:val="2"/>
                <w:sz w:val="24"/>
                <w:szCs w:val="24"/>
                <w:lang w:eastAsia="hi-IN" w:bidi="hi-IN"/>
              </w:rPr>
              <w:t>Управление образования Грязовецкого муниципального района</w:t>
            </w:r>
          </w:p>
        </w:tc>
      </w:tr>
      <w:tr>
        <w:trPr/>
        <w:tc>
          <w:tcPr>
            <w:tcW w:w="21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Подпрограммы муниципальной программы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71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Times New Roman" w:ascii="Bookman Old Style" w:hAnsi="Bookman Old Style"/>
                <w:bCs/>
                <w:kern w:val="2"/>
                <w:sz w:val="24"/>
                <w:szCs w:val="24"/>
                <w:lang w:eastAsia="hi-IN" w:bidi="hi-IN"/>
              </w:rPr>
              <w:t>«Физическая культура и массовый спорт»;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«Спортивная подготовка»</w:t>
            </w:r>
          </w:p>
        </w:tc>
      </w:tr>
      <w:tr>
        <w:trPr/>
        <w:tc>
          <w:tcPr>
            <w:tcW w:w="21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Цель  муниципальной программы</w:t>
            </w:r>
          </w:p>
        </w:tc>
        <w:tc>
          <w:tcPr>
            <w:tcW w:w="71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0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обеспечение развития физической культуры и спорта на территории  Грязовецкого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</w:tr>
      <w:tr>
        <w:trPr/>
        <w:tc>
          <w:tcPr>
            <w:tcW w:w="21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Задачи муниципальной программы</w:t>
            </w:r>
          </w:p>
        </w:tc>
        <w:tc>
          <w:tcPr>
            <w:tcW w:w="71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создание условий для развития физической культуры и массового спорта на территории Грязовецкого муниципального района</w:t>
            </w:r>
            <w:r>
              <w:rPr>
                <w:rFonts w:ascii="Bookman Old Style" w:hAnsi="Bookman Old Style"/>
                <w:sz w:val="24"/>
                <w:szCs w:val="24"/>
              </w:rPr>
              <w:t>, популяризация здорового образа жизни</w:t>
            </w: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  <w:t>обеспечение спортивной подготовки в соответствии с федеральными стандартами спортивной подготовки по видам спорта, включенным во всероссийский реестр видов спорта</w:t>
            </w:r>
          </w:p>
        </w:tc>
      </w:tr>
      <w:tr>
        <w:trPr/>
        <w:tc>
          <w:tcPr>
            <w:tcW w:w="21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0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0"/>
                <w:lang w:eastAsia="hi-IN" w:bidi="hi-IN"/>
              </w:rPr>
              <w:t xml:space="preserve">Целевые показатели (индикаторы) </w:t>
            </w: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муниципальной </w:t>
            </w:r>
            <w:r>
              <w:rPr>
                <w:rFonts w:eastAsia="Times New Roman" w:ascii="Bookman Old Style" w:hAnsi="Bookman Old Style"/>
                <w:kern w:val="2"/>
                <w:sz w:val="24"/>
                <w:szCs w:val="20"/>
                <w:lang w:eastAsia="hi-IN" w:bidi="hi-IN"/>
              </w:rPr>
              <w:t>программы</w:t>
            </w:r>
          </w:p>
        </w:tc>
        <w:tc>
          <w:tcPr>
            <w:tcW w:w="71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0"/>
                <w:lang w:eastAsia="hi-IN" w:bidi="hi-IN"/>
              </w:rPr>
              <w:t>доля населения, систематически занимающегося физической культурой и спортом, в общей численности населения района в возрасте от 3 до 79 лет;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 w:eastAsia="Times New Roman" w:cs="Bookman Old Style"/>
                <w:kern w:val="2"/>
                <w:sz w:val="24"/>
                <w:szCs w:val="20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0"/>
                <w:lang w:eastAsia="hi-IN" w:bidi="hi-IN"/>
              </w:rPr>
              <w:t>число лиц, занимающихся спортивной подготовкой, в соответствии с федеральными стандартами спортивной подготовки;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color w:val="000000"/>
                <w:kern w:val="2"/>
                <w:sz w:val="24"/>
                <w:szCs w:val="20"/>
                <w:lang w:eastAsia="hi-IN" w:bidi="hi-IN"/>
              </w:rPr>
              <w:t>коэффициент фактической загруженности спортивных сооружений, находящихся в оперативном управлении БУ «Центр ФКС»</w:t>
            </w:r>
          </w:p>
        </w:tc>
      </w:tr>
      <w:tr>
        <w:trPr/>
        <w:tc>
          <w:tcPr>
            <w:tcW w:w="21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Сроки реализации муниципальной программы</w:t>
            </w:r>
          </w:p>
        </w:tc>
        <w:tc>
          <w:tcPr>
            <w:tcW w:w="71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2021-2025 годы</w:t>
            </w:r>
          </w:p>
        </w:tc>
      </w:tr>
      <w:tr>
        <w:trPr/>
        <w:tc>
          <w:tcPr>
            <w:tcW w:w="21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Объем бюджетных ассигнований</w:t>
            </w: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 муниципальной программы</w:t>
            </w:r>
          </w:p>
        </w:tc>
        <w:tc>
          <w:tcPr>
            <w:tcW w:w="71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объем бюджетных ассигнований на реализацию муниципальной программы за счет средств бюджета района  составляет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hi-IN" w:bidi="hi-IN"/>
              </w:rPr>
              <w:t xml:space="preserve">221258,0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тыс. рублей, в том числе по годам реализации: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2021 год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hi-IN" w:bidi="hi-IN"/>
              </w:rPr>
              <w:t>41 996,3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2022 год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hi-IN" w:bidi="hi-IN"/>
              </w:rPr>
              <w:t>68 665,1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2023 год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hi-IN" w:bidi="hi-IN"/>
              </w:rPr>
              <w:t>43 666,9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2024 год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hi-IN" w:bidi="hi-IN"/>
              </w:rPr>
              <w:t>42 034,7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2025 год – 24 895,0 тыс. рублей</w:t>
            </w:r>
          </w:p>
        </w:tc>
      </w:tr>
      <w:tr>
        <w:trPr/>
        <w:tc>
          <w:tcPr>
            <w:tcW w:w="21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Ожидаемые результаты реализации муниципальной программы</w:t>
            </w:r>
          </w:p>
        </w:tc>
        <w:tc>
          <w:tcPr>
            <w:tcW w:w="71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увеличение доли населения, систематически занимающегося физической культурой и спортом, в общей численности населения района в возрасте от 3 до 79 лет с  40,2 % в 2019 году до 54,5 % в 2025 году;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увеличение численности лиц,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занимающихся спортивной подготовкой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, в соответствии с федеральными стандартами спортивной подготовки с 428 человек в 2019 году до 435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человек в 2025 году;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увеличение коэффициента фактической загруженности спортивных сооружений, находящихся в оперативном управлении БУ «Центр ФКС», с 40,3% в 2019 году до 60,0% в 2025 году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Spacing"/>
        <w:numPr>
          <w:ilvl w:val="0"/>
          <w:numId w:val="1"/>
        </w:numPr>
        <w:jc w:val="center"/>
        <w:rPr/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  <w:t>Общая характеристика сферы реализации</w:t>
      </w:r>
    </w:p>
    <w:p>
      <w:pPr>
        <w:pStyle w:val="NoSpacing"/>
        <w:ind w:left="1080" w:hanging="0"/>
        <w:jc w:val="center"/>
        <w:rPr/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  <w:t>муниципальной программы</w:t>
      </w:r>
    </w:p>
    <w:p>
      <w:pPr>
        <w:pStyle w:val="NoSpacing"/>
        <w:jc w:val="center"/>
        <w:rPr>
          <w:rFonts w:ascii="Bookman Old Style" w:hAnsi="Bookman Old Style" w:cs="Bookman Old Style"/>
          <w:b/>
          <w:b/>
          <w:kern w:val="2"/>
          <w:sz w:val="24"/>
          <w:szCs w:val="24"/>
          <w:highlight w:val="yellow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highlight w:val="yellow"/>
          <w:lang w:eastAsia="hi-IN" w:bidi="hi-IN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Bookman Old Style" w:hAnsi="Bookman Old Style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Bookman Old Style" w:hAnsi="Bookman Old Style"/>
          <w:color w:val="000000"/>
          <w:sz w:val="24"/>
          <w:szCs w:val="24"/>
          <w:lang w:eastAsia="ru-RU"/>
        </w:rPr>
        <w:t>Активные занятия физической</w:t>
      </w:r>
      <w:r>
        <w:rPr>
          <w:rFonts w:eastAsia="Times New Roman" w:ascii="yandex-sans" w:hAnsi="yandex-sans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Bookman Old Style" w:hAnsi="Bookman Old Style"/>
          <w:color w:val="000000"/>
          <w:sz w:val="24"/>
          <w:szCs w:val="24"/>
          <w:lang w:eastAsia="ru-RU"/>
        </w:rPr>
        <w:t>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 Привлечение молодежи к занятиям физической культурой и спортом является результативным методом профилактики асоциального поведения в молодежной среде.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eastAsia="Times New Roman" w:ascii="Bookman Old Style" w:hAnsi="Bookman Old Style"/>
          <w:color w:val="000000"/>
          <w:sz w:val="24"/>
          <w:szCs w:val="24"/>
          <w:lang w:eastAsia="ru-RU"/>
        </w:rPr>
        <w:t xml:space="preserve">Грязовецкий район продолжает эффективную работу по развитию физической культуры и спорта,  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 xml:space="preserve">вовлечению в систематические занятия физической культурой и спортом населения района 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в возрасте от 3 до 79 лет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>. По состоянию на 1 января 2020 года этот показатель со</w:t>
        <w:softHyphen/>
        <w:t>ставил 12127 человек (</w:t>
      </w:r>
      <w:r>
        <w:rPr>
          <w:rFonts w:eastAsia="Lucida Sans Unicode" w:cs="Bookman Old Style" w:ascii="Bookman Old Style" w:hAnsi="Bookman Old Style"/>
          <w:color w:val="000000"/>
          <w:kern w:val="2"/>
          <w:sz w:val="24"/>
          <w:szCs w:val="24"/>
          <w:lang w:eastAsia="hi-IN" w:bidi="hi-IN"/>
        </w:rPr>
        <w:t>40,2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 xml:space="preserve"> % от общей численности населения в возрасте от 3 до 79 лет)</w:t>
      </w:r>
      <w:r>
        <w:rPr>
          <w:rFonts w:ascii="Bookman Old Style" w:hAnsi="Bookman Old Style"/>
          <w:sz w:val="24"/>
          <w:szCs w:val="24"/>
        </w:rPr>
        <w:t xml:space="preserve">;  доля обучающихся, систематически занимающихся физкультурой и спортом, в общей численности обучающихся, составила 66,88%.  </w:t>
      </w:r>
    </w:p>
    <w:p>
      <w:pPr>
        <w:pStyle w:val="Normal"/>
        <w:spacing w:lineRule="auto" w:line="240" w:before="0" w:after="0"/>
        <w:ind w:firstLine="709"/>
        <w:jc w:val="both"/>
        <w:rPr>
          <w:rFonts w:ascii="Bookman Old Style" w:hAnsi="Bookman Old Style" w:eastAsia="Times New Roman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 xml:space="preserve">На территории района функционирует 72 спортивных сооружения (включая школьные спортсооружения). </w:t>
      </w:r>
      <w:r>
        <w:rPr>
          <w:rFonts w:eastAsia="Times New Roman" w:ascii="Bookman Old Style" w:hAnsi="Bookman Old Style"/>
          <w:sz w:val="24"/>
          <w:szCs w:val="24"/>
        </w:rPr>
        <w:t xml:space="preserve">В 2020 году ведутся работы по следующим объектам: </w:t>
      </w:r>
    </w:p>
    <w:p>
      <w:pPr>
        <w:pStyle w:val="Normal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капитальный  ремонт  с перепланировкой ледового поля в существующем хоккейном корте (г. Грязовец. ул. Обнорского, д.51);</w:t>
      </w:r>
    </w:p>
    <w:p>
      <w:pPr>
        <w:pStyle w:val="Normal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eastAsia="Lucida Sans Unicode" w:ascii="Bookman Old Style" w:hAnsi="Bookman Old Style"/>
          <w:kern w:val="2"/>
          <w:sz w:val="24"/>
          <w:szCs w:val="24"/>
        </w:rPr>
        <w:t>- проектирование и строительство второй очереди физкультурно-оздоровительного комплекса с бассейном в г. Грязовце (</w:t>
      </w:r>
      <w:r>
        <w:rPr>
          <w:rFonts w:ascii="Bookman Old Style" w:hAnsi="Bookman Old Style"/>
          <w:sz w:val="24"/>
          <w:szCs w:val="24"/>
        </w:rPr>
        <w:t xml:space="preserve">г. Грязовец. </w:t>
      </w:r>
      <w:r>
        <w:rPr>
          <w:rStyle w:val="2Sylfaen65pt"/>
          <w:rFonts w:ascii="Bookman Old Style" w:hAnsi="Bookman Old Style"/>
          <w:sz w:val="24"/>
          <w:szCs w:val="24"/>
          <w:lang w:val="ru-RU"/>
        </w:rPr>
        <w:t xml:space="preserve">ул. </w:t>
      </w:r>
      <w:r>
        <w:rPr>
          <w:rFonts w:ascii="Bookman Old Style" w:hAnsi="Bookman Old Style"/>
          <w:sz w:val="24"/>
          <w:szCs w:val="24"/>
        </w:rPr>
        <w:t>Революционная,  д. 104);</w:t>
      </w:r>
    </w:p>
    <w:p>
      <w:pPr>
        <w:pStyle w:val="Normal"/>
        <w:spacing w:lineRule="auto" w:line="240" w:before="0" w:after="0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color w:val="000000"/>
          <w:sz w:val="24"/>
          <w:szCs w:val="24"/>
        </w:rPr>
        <w:t xml:space="preserve">строительство плоскостных спортивных сооружений в д.Юрово и  д.Ростилово. 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   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ab/>
      </w:r>
      <w:r>
        <w:rPr>
          <w:rFonts w:ascii="Bookman Old Style" w:hAnsi="Bookman Old Style"/>
          <w:sz w:val="24"/>
          <w:szCs w:val="24"/>
        </w:rPr>
        <w:t xml:space="preserve">Спортсмены Грязовецкого района принимают активное участие в первенствах и Кубках области. Ежегодно они становятся чемпионами и призерами по зимнему и летнему полиатлону,   хоккею, футболу, мини-футболу, баскетболу, стрельбе, лыжным гонкам, волейболу, гиревому спорту.   </w:t>
      </w:r>
    </w:p>
    <w:p>
      <w:pPr>
        <w:pStyle w:val="Normal"/>
        <w:spacing w:lineRule="auto" w:line="240" w:before="0" w:after="0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Достойно выступают спортсмены 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Структурного подразделения «Спортивная школа» БУ «Центр развития физической культуры и спорта» Грязовецкого района Вологодской области (далее – Спортивная школа) </w:t>
      </w:r>
      <w:r>
        <w:rPr>
          <w:rFonts w:ascii="Bookman Old Style" w:hAnsi="Bookman Old Style"/>
          <w:sz w:val="24"/>
          <w:szCs w:val="24"/>
        </w:rPr>
        <w:t>на областных и Российских соревнованиях. В 2019-2020 году в Спортивной школе  занимается 428 человек.</w:t>
      </w:r>
    </w:p>
    <w:p>
      <w:pPr>
        <w:pStyle w:val="Normal"/>
        <w:spacing w:lineRule="auto" w:line="240" w:before="0" w:after="0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Ведущими спортсменами Грязовецкого района являются: </w:t>
      </w:r>
    </w:p>
    <w:p>
      <w:pPr>
        <w:pStyle w:val="Normal"/>
        <w:spacing w:lineRule="auto" w:line="240" w:before="0" w:after="0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Подгорнова Е. – мастер спорта по зимнему полиатлону; </w:t>
      </w:r>
    </w:p>
    <w:p>
      <w:pPr>
        <w:pStyle w:val="Normal"/>
        <w:spacing w:lineRule="auto" w:line="240" w:before="0" w:after="0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Клименко Т. – мастер спорта по летнему полиатлону;</w:t>
      </w:r>
    </w:p>
    <w:p>
      <w:pPr>
        <w:pStyle w:val="Normal"/>
        <w:spacing w:lineRule="auto" w:line="240" w:before="0" w:after="0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Перунов Н.  – кандидат в мастера спорта по гиревому спорту;</w:t>
      </w:r>
    </w:p>
    <w:p>
      <w:pPr>
        <w:pStyle w:val="Normal"/>
        <w:spacing w:lineRule="auto" w:line="240" w:before="0" w:after="0"/>
        <w:ind w:left="150" w:firstLine="41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Воробьева А. – </w:t>
      </w:r>
      <w:r>
        <w:rPr>
          <w:rFonts w:ascii="Bookman Old Style" w:hAnsi="Bookman Old Style"/>
          <w:color w:val="000000" w:themeColor="text1"/>
          <w:sz w:val="24"/>
          <w:szCs w:val="24"/>
        </w:rPr>
        <w:t>м</w:t>
      </w:r>
      <w:r>
        <w:rPr>
          <w:rFonts w:cs="Arial" w:ascii="Bookman Old Style" w:hAnsi="Bookman Old Style"/>
          <w:bCs/>
          <w:color w:val="000000" w:themeColor="text1"/>
          <w:sz w:val="24"/>
          <w:szCs w:val="24"/>
          <w:shd w:fill="FFFFFF" w:val="clear"/>
        </w:rPr>
        <w:t>астер спорта России международного класса</w:t>
      </w:r>
      <w:r>
        <w:rPr>
          <w:rFonts w:ascii="Bookman Old Style" w:hAnsi="Bookman Old Style"/>
          <w:sz w:val="24"/>
          <w:szCs w:val="24"/>
        </w:rPr>
        <w:t xml:space="preserve"> по гиревому спорту</w:t>
      </w:r>
      <w:r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В состав сборной Вологодской области включены: </w:t>
      </w:r>
    </w:p>
    <w:p>
      <w:pPr>
        <w:pStyle w:val="Normal"/>
        <w:spacing w:lineRule="auto" w:line="240" w:before="0" w:after="0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полиатлонисты: Смирнов В., Игнатьев С., Серов С., Маров Д., Бобыкин С., Сидорова П.; </w:t>
      </w:r>
    </w:p>
    <w:p>
      <w:pPr>
        <w:pStyle w:val="Normal"/>
        <w:spacing w:lineRule="auto" w:line="240" w:before="0" w:after="0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биатлонисты: Шарапова А., Пахолков Н., Шарманкина М., Серов С., Заозерова Д., Сидорова П., Козырев Е., Маров Д., Богданов М., Дуганова Е., Дуганов Е., Малиновская С., Кивитар Е.;   </w:t>
      </w:r>
    </w:p>
    <w:p>
      <w:pPr>
        <w:pStyle w:val="Normal"/>
        <w:spacing w:lineRule="auto" w:line="240" w:before="0" w:after="0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баскетболисты: Антонян Х., Губин К., Гузанов А., Киселев М., Нестеров Г., Ссорин А., Калиничев И., Жиганов Т.;</w:t>
      </w:r>
    </w:p>
    <w:p>
      <w:pPr>
        <w:pStyle w:val="Normal"/>
        <w:spacing w:lineRule="auto" w:line="240" w:before="0" w:after="0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Савельева Ю. (спорт слепых (голбол);</w:t>
      </w:r>
    </w:p>
    <w:p>
      <w:pPr>
        <w:pStyle w:val="Normal"/>
        <w:spacing w:lineRule="auto" w:line="240" w:before="0" w:after="0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Перунов Н., Бушмакин С. и Воробьева А. (гиревой спорт).</w:t>
      </w:r>
    </w:p>
    <w:p>
      <w:pPr>
        <w:pStyle w:val="Normal"/>
        <w:spacing w:lineRule="auto" w:line="240" w:before="0" w:after="0"/>
        <w:ind w:firstLine="708"/>
        <w:jc w:val="both"/>
        <w:rPr>
          <w:rFonts w:ascii="Bookman Old Style" w:hAnsi="Bookman Old Style"/>
          <w:sz w:val="24"/>
          <w:szCs w:val="24"/>
          <w:highlight w:val="yellow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 xml:space="preserve">В районе реализуются меры по развитию адаптивной физической культуры и спорта лиц с ограниченными возможностями здоровья. Организована работа с данной категорией граждан через индивидуальные программы реабилитации и абилитации инвалидов. </w:t>
      </w:r>
      <w:r>
        <w:rPr>
          <w:rFonts w:ascii="Bookman Old Style" w:hAnsi="Bookman Old Style"/>
          <w:sz w:val="24"/>
          <w:szCs w:val="24"/>
          <w:lang w:eastAsia="ru-RU"/>
        </w:rPr>
        <w:t>В Спортивной школе действует секция по голболу,  в которой занимаются   обучающиеся  коррекционной  школы с ОВЗ по зрению.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 w:eastAsia="Lucida Sans Unicode" w:cs="Bookman Old Style"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color w:val="000000"/>
          <w:kern w:val="2"/>
          <w:sz w:val="24"/>
          <w:szCs w:val="24"/>
          <w:lang w:eastAsia="hi-IN" w:bidi="hi-IN"/>
        </w:rPr>
        <w:tab/>
        <w:t>Реализация  муниципальной программы направлена на обеспечение развития физической культуры и спорта на территории Грязовецкого муниципального района,  включая развитие физи</w:t>
        <w:softHyphen/>
        <w:t xml:space="preserve">ческой культуры и массового спорта. Способствовать этому будет совершенствование системы управления физической культурой и спортом, развитие физкультурной и спортивной инфраструктуры.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Bookman Old Style" w:hAnsi="Bookman Old Style"/>
          <w:color w:val="000000"/>
          <w:sz w:val="24"/>
          <w:szCs w:val="24"/>
          <w:lang w:eastAsia="ru-RU"/>
        </w:rPr>
        <w:t xml:space="preserve">Основными проблемами в районе, требующими решения в сфере физической культуры и спорта, являются: недостаточная оснащенность и низкая пропускная способность объектов спортивной инфраструктуры, а также износ спортивных сооружений, инвентаря и оборудования на фоне растущей стоимости их содержания.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eastAsia="Lucida Sans Unicode" w:cs="Bookman Old Style" w:ascii="Bookman Old Style" w:hAnsi="Bookman Old Style"/>
          <w:color w:val="000000"/>
          <w:kern w:val="2"/>
          <w:sz w:val="24"/>
          <w:szCs w:val="24"/>
          <w:lang w:eastAsia="hi-IN" w:bidi="hi-IN"/>
        </w:rPr>
        <w:t xml:space="preserve">Среди перспективных направлений развития физической культуры и спорта на </w:t>
      </w:r>
      <w:r>
        <w:rPr>
          <w:rFonts w:eastAsia="Lucida Sans Unicode" w:cs="Bookman Old Style" w:ascii="Bookman Old Style" w:hAnsi="Bookman Old Style"/>
          <w:color w:val="000000" w:themeColor="text1"/>
          <w:kern w:val="2"/>
          <w:sz w:val="24"/>
          <w:szCs w:val="24"/>
          <w:lang w:eastAsia="hi-IN" w:bidi="hi-IN"/>
        </w:rPr>
        <w:t>территории рай</w:t>
        <w:softHyphen/>
        <w:t xml:space="preserve">она можно выделить следующие: </w:t>
      </w:r>
    </w:p>
    <w:p>
      <w:pPr>
        <w:pStyle w:val="Normal"/>
        <w:shd w:val="clear" w:color="auto" w:fill="FFFFFF"/>
        <w:spacing w:lineRule="auto" w:line="240" w:before="0" w:after="0"/>
        <w:ind w:left="420" w:hanging="0"/>
        <w:jc w:val="both"/>
        <w:rPr>
          <w:rFonts w:ascii="Bookman Old Style" w:hAnsi="Bookman Old Style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Bookman Old Style" w:hAnsi="Bookman Old Style"/>
          <w:color w:val="000000" w:themeColor="text1"/>
          <w:sz w:val="24"/>
          <w:szCs w:val="24"/>
          <w:lang w:eastAsia="ru-RU"/>
        </w:rPr>
        <w:t>- развитие массовой физической культуры и массового спорта;</w:t>
      </w:r>
    </w:p>
    <w:p>
      <w:pPr>
        <w:pStyle w:val="Normal"/>
        <w:shd w:val="clear" w:color="auto" w:fill="FFFFFF"/>
        <w:spacing w:lineRule="auto" w:line="240" w:before="0" w:after="0"/>
        <w:ind w:left="420" w:hanging="0"/>
        <w:jc w:val="both"/>
        <w:rPr>
          <w:rFonts w:ascii="Bookman Old Style" w:hAnsi="Bookman Old Style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Bookman Old Style" w:hAnsi="Bookman Old Style"/>
          <w:color w:val="000000" w:themeColor="text1"/>
          <w:sz w:val="24"/>
          <w:szCs w:val="24"/>
          <w:lang w:eastAsia="ru-RU"/>
        </w:rPr>
        <w:t>- создание условий для увеличения числа граждан, ведущих здоровый образ жизни;</w:t>
      </w:r>
    </w:p>
    <w:p>
      <w:pPr>
        <w:pStyle w:val="Normal"/>
        <w:shd w:val="clear" w:color="auto" w:fill="FFFFFF"/>
        <w:spacing w:lineRule="auto" w:line="240" w:before="0" w:after="0"/>
        <w:ind w:left="420" w:hanging="0"/>
        <w:jc w:val="both"/>
        <w:rPr>
          <w:rFonts w:ascii="Bookman Old Style" w:hAnsi="Bookman Old Style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Bookman Old Style" w:hAnsi="Bookman Old Style"/>
          <w:color w:val="000000" w:themeColor="text1"/>
          <w:sz w:val="24"/>
          <w:szCs w:val="24"/>
          <w:lang w:eastAsia="ru-RU"/>
        </w:rPr>
        <w:t>- обеспечение возможностей для занятий физической культурой и спортом всех слоев населения;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eastAsia="Lucida Sans Unicode" w:cs="Bookman Old Style" w:ascii="Bookman Old Style" w:hAnsi="Bookman Old Style"/>
          <w:color w:val="000000" w:themeColor="text1"/>
          <w:kern w:val="2"/>
          <w:sz w:val="24"/>
          <w:szCs w:val="24"/>
          <w:lang w:eastAsia="hi-IN" w:bidi="hi-IN"/>
        </w:rPr>
        <w:t xml:space="preserve">- повышение эффективности деятельности учреждений, осуществляющих спортивную подготовку;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color w:val="000000" w:themeColor="text1"/>
        </w:rPr>
      </w:pPr>
      <w:r>
        <w:rPr>
          <w:rFonts w:eastAsia="Lucida Sans Unicode" w:cs="Bookman Old Style" w:ascii="Bookman Old Style" w:hAnsi="Bookman Old Style"/>
          <w:color w:val="000000" w:themeColor="text1"/>
          <w:kern w:val="2"/>
          <w:sz w:val="24"/>
          <w:szCs w:val="24"/>
          <w:lang w:eastAsia="hi-IN" w:bidi="hi-IN"/>
        </w:rPr>
        <w:t xml:space="preserve">- развитие  школьного и молодежного спорта на территории Грязовецкого района;       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Lucida Sans Unicode" w:cs="Bookman Old Style" w:ascii="Bookman Old Style" w:hAnsi="Bookman Old Style"/>
          <w:color w:val="000000"/>
          <w:kern w:val="2"/>
          <w:sz w:val="24"/>
          <w:szCs w:val="24"/>
          <w:lang w:eastAsia="hi-IN" w:bidi="hi-IN"/>
        </w:rPr>
        <w:t>- создание условий для подготовки спортивных сборных команд района по видам спорта, включенным во всероссийский реестр видов спорта;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Lucida Sans Unicode" w:cs="Bookman Old Style" w:ascii="Bookman Old Style" w:hAnsi="Bookman Old Style"/>
          <w:color w:val="000000"/>
          <w:kern w:val="2"/>
          <w:sz w:val="24"/>
          <w:szCs w:val="24"/>
          <w:lang w:eastAsia="hi-IN" w:bidi="hi-IN"/>
        </w:rPr>
        <w:t>- активизация комплекса ВФСК ГТО как одного из приоритетных направлений развития спорта в районе;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Lucida Sans Unicode" w:cs="Bookman Old Style" w:ascii="Bookman Old Style" w:hAnsi="Bookman Old Style"/>
          <w:color w:val="000000"/>
          <w:kern w:val="2"/>
          <w:sz w:val="24"/>
          <w:szCs w:val="24"/>
          <w:lang w:eastAsia="hi-IN" w:bidi="hi-IN"/>
        </w:rPr>
        <w:t>- использование современных информационных технологий в процессе реализации муниципаль</w:t>
        <w:softHyphen/>
        <w:t xml:space="preserve">ной политики в сфере развития физической культуры и спорта. </w:t>
      </w:r>
    </w:p>
    <w:p>
      <w:pPr>
        <w:pStyle w:val="Normal"/>
        <w:widowControl w:val="false"/>
        <w:spacing w:lineRule="auto" w:line="240" w:before="0" w:after="0"/>
        <w:jc w:val="both"/>
        <w:rPr>
          <w:highlight w:val="yellow"/>
        </w:rPr>
      </w:pPr>
      <w:r>
        <w:rPr>
          <w:rFonts w:eastAsia="Bookman Old Style" w:cs="Bookman Old Style" w:ascii="Bookman Old Style" w:hAnsi="Bookman Old Style"/>
          <w:color w:val="000000"/>
          <w:kern w:val="2"/>
          <w:sz w:val="24"/>
          <w:szCs w:val="24"/>
          <w:highlight w:val="yellow"/>
          <w:lang w:eastAsia="hi-IN" w:bidi="hi-IN"/>
        </w:rPr>
        <w:t xml:space="preserve">             </w:t>
      </w:r>
    </w:p>
    <w:p>
      <w:pPr>
        <w:pStyle w:val="ListParagraph"/>
        <w:widowControl w:val="false"/>
        <w:spacing w:lineRule="auto" w:line="240" w:before="0" w:after="0"/>
        <w:ind w:left="1080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 xml:space="preserve"> . </w:t>
      </w: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  <w:t>Приоритеты в сфере реализации муниципальной программы, цель, задачи, сроки реали</w:t>
        <w:softHyphen/>
        <w:t>зации  муниципальной программы</w:t>
      </w:r>
    </w:p>
    <w:p>
      <w:pPr>
        <w:pStyle w:val="ListParagraph"/>
        <w:widowControl w:val="false"/>
        <w:spacing w:lineRule="auto" w:line="240" w:before="0" w:after="0"/>
        <w:ind w:left="1080" w:hanging="0"/>
        <w:rPr>
          <w:rFonts w:ascii="Bookman Old Style" w:hAnsi="Bookman Old Style" w:cs="Bookman Old Style"/>
          <w:kern w:val="2"/>
          <w:sz w:val="24"/>
          <w:szCs w:val="24"/>
          <w:highlight w:val="yellow"/>
          <w:lang w:eastAsia="hi-IN" w:bidi="hi-IN"/>
        </w:rPr>
      </w:pPr>
      <w:r>
        <w:rPr>
          <w:rFonts w:cs="Bookman Old Style" w:ascii="Bookman Old Style" w:hAnsi="Bookman Old Style"/>
          <w:kern w:val="2"/>
          <w:sz w:val="24"/>
          <w:szCs w:val="24"/>
          <w:highlight w:val="yellow"/>
          <w:lang w:eastAsia="hi-IN" w:bidi="hi-IN"/>
        </w:rPr>
      </w:r>
    </w:p>
    <w:p>
      <w:pPr>
        <w:pStyle w:val="Normal"/>
        <w:spacing w:lineRule="auto" w:line="240" w:before="0" w:after="0"/>
        <w:ind w:firstLine="540"/>
        <w:jc w:val="both"/>
        <w:rPr>
          <w:highlight w:val="yellow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</w:r>
      <w:r>
        <w:rPr>
          <w:rFonts w:cs="Bookman Old Style" w:ascii="Bookman Old Style" w:hAnsi="Bookman Old Style"/>
          <w:sz w:val="24"/>
          <w:szCs w:val="24"/>
        </w:rPr>
        <w:t xml:space="preserve">Приоритеты развития сферы физической культуры и спорта определены в следующих документах стратегического планирования: в </w:t>
      </w:r>
      <w:hyperlink r:id="rId2">
        <w:r>
          <w:rPr>
            <w:rFonts w:cs="Bookman Old Style" w:ascii="Bookman Old Style" w:hAnsi="Bookman Old Style"/>
            <w:color w:val="000000" w:themeColor="text1"/>
            <w:sz w:val="24"/>
            <w:szCs w:val="24"/>
          </w:rPr>
          <w:t>Стратегии</w:t>
        </w:r>
      </w:hyperlink>
      <w:r>
        <w:rPr>
          <w:rFonts w:cs="Bookman Old Style" w:ascii="Bookman Old Style" w:hAnsi="Bookman Old Style"/>
          <w:sz w:val="24"/>
          <w:szCs w:val="24"/>
        </w:rPr>
        <w:t xml:space="preserve"> социально-экономического развития Вологодской области на период до 2030 года, утвержденной постановлением Правительства Вологодской области от 17 октября 2016 года N 920; в государственной программе «Развитие физической культуры и спорта в Вологодской области на 2021 - 2025 годы», утвержденной постановлением Правительства области от 22 апреля 2020 года N 387; в Стратегии социально-экономического развития Грязовецкого муниципального района на период до 2030 года, утвержденной решением Земского Собрания  Грязовецкого муниципального района от 12 декабря 2018 года №113.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К числу приоритетных направлений развития физической культуры и спорта на территории Грязовецкого района относятся: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- вовлечение граждан в регулярные занятия физической культурой и спортом и ведению здорового образа жизни;          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- развитие детско-юношеского спорта </w:t>
      </w:r>
      <w:r>
        <w:rPr>
          <w:rFonts w:eastAsia="Lucida Sans Unicode" w:cs="Bookman Old Style" w:ascii="Bookman Old Style" w:hAnsi="Bookman Old Style"/>
          <w:kern w:val="2"/>
          <w:sz w:val="24"/>
          <w:szCs w:val="24"/>
          <w:lang w:eastAsia="hi-IN" w:bidi="hi-IN"/>
        </w:rPr>
        <w:t>в районе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- развитие и пропаганда комплекса ВФСК ГТО.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  <w:t>Целью муниципальной программы  является обеспечение развития физической культуры и спорта на территории  Грязовецкого муниципального района.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  <w:t>Для достижения указанной цели необходимо решение следующих задач: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- </w:t>
      </w:r>
      <w:r>
        <w:rPr>
          <w:rFonts w:eastAsia="Times New Roman" w:ascii="Bookman Old Style" w:hAnsi="Bookman Old Style"/>
          <w:kern w:val="2"/>
          <w:sz w:val="24"/>
          <w:szCs w:val="24"/>
          <w:lang w:eastAsia="hi-IN" w:bidi="hi-IN"/>
        </w:rPr>
        <w:t>создание условий для развития физической культуры и массового спорта на территории Грязовецкого муниципального района</w:t>
      </w:r>
      <w:r>
        <w:rPr>
          <w:rFonts w:ascii="Bookman Old Style" w:hAnsi="Bookman Old Style"/>
          <w:sz w:val="24"/>
          <w:szCs w:val="24"/>
        </w:rPr>
        <w:t>, популяризация здорового образа жизни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Bookman Old Style" w:hAnsi="Bookman Old Style" w:eastAsia="Lucida Sans Unicode" w:cs="Mangal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- </w:t>
      </w:r>
      <w:r>
        <w:rPr>
          <w:rFonts w:eastAsia="Lucida Sans Unicode" w:cs="Mangal" w:ascii="Bookman Old Style" w:hAnsi="Bookman Old Style"/>
          <w:kern w:val="2"/>
          <w:sz w:val="24"/>
          <w:szCs w:val="24"/>
          <w:lang w:eastAsia="hi-IN" w:bidi="hi-IN"/>
        </w:rPr>
        <w:t>обеспечение спортивной подготовки в соответствии с федеральными стандартами спортивной подготовки по видам спорта, включенным во всероссийский реестр видов спорта.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  <w:t>Сроки реализации муниципальной программы: 2021 - 2025 годы.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ListParagraph"/>
        <w:widowControl w:val="false"/>
        <w:spacing w:lineRule="auto" w:line="240" w:before="0" w:after="0"/>
        <w:ind w:left="1080" w:hanging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III. </w:t>
      </w: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  <w:t>Финансовое обеспечение, обоснование объема финансовых ресурсов, необходимых для реализации  муниципальной программы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highlight w:val="yellow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highlight w:val="yellow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 программы за счет средств  бюджета района составляет  </w:t>
      </w:r>
      <w:r>
        <w:rPr>
          <w:rFonts w:eastAsia="Calibri" w:cs="Times New Roman" w:ascii="Times New Roman" w:hAnsi="Times New Roman"/>
          <w:color w:val="auto"/>
          <w:kern w:val="2"/>
          <w:sz w:val="24"/>
          <w:szCs w:val="24"/>
          <w:lang w:val="ru-RU" w:eastAsia="hi-IN" w:bidi="hi-IN"/>
        </w:rPr>
        <w:t xml:space="preserve">221 258,0 </w:t>
      </w:r>
      <w:r>
        <w:rPr>
          <w:rFonts w:cs="Times New Roman" w:ascii="Times New Roman" w:hAnsi="Times New Roman"/>
          <w:kern w:val="2"/>
          <w:sz w:val="24"/>
          <w:szCs w:val="24"/>
          <w:lang w:eastAsia="hi-IN" w:bidi="hi-IN"/>
        </w:rPr>
        <w:t>тыс. рублей, в том числе по годам реализации: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24"/>
        <w:jc w:val="left"/>
        <w:rPr/>
      </w:pPr>
      <w:r>
        <w:rPr>
          <w:rFonts w:cs="Times New Roman" w:ascii="Times New Roman" w:hAnsi="Times New Roman"/>
          <w:kern w:val="2"/>
          <w:sz w:val="24"/>
          <w:szCs w:val="24"/>
          <w:lang w:eastAsia="hi-IN" w:bidi="hi-IN"/>
        </w:rPr>
        <w:t xml:space="preserve">2021 год – </w:t>
      </w:r>
      <w:r>
        <w:rPr>
          <w:rFonts w:eastAsia="Calibri" w:cs="Times New Roman" w:ascii="Times New Roman" w:hAnsi="Times New Roman"/>
          <w:color w:val="auto"/>
          <w:kern w:val="2"/>
          <w:sz w:val="24"/>
          <w:szCs w:val="24"/>
          <w:lang w:val="ru-RU" w:eastAsia="hi-IN" w:bidi="hi-IN"/>
        </w:rPr>
        <w:t>41 996,3</w:t>
      </w:r>
      <w:r>
        <w:rPr>
          <w:rFonts w:cs="Times New Roman" w:ascii="Times New Roman" w:hAnsi="Times New Roman"/>
          <w:kern w:val="2"/>
          <w:sz w:val="24"/>
          <w:szCs w:val="24"/>
          <w:lang w:eastAsia="hi-IN" w:bidi="hi-IN"/>
        </w:rPr>
        <w:t xml:space="preserve"> тыс. рублей;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24"/>
        <w:jc w:val="left"/>
        <w:rPr/>
      </w:pPr>
      <w:r>
        <w:rPr>
          <w:rFonts w:cs="Times New Roman" w:ascii="Times New Roman" w:hAnsi="Times New Roman"/>
          <w:kern w:val="2"/>
          <w:sz w:val="24"/>
          <w:szCs w:val="24"/>
          <w:lang w:eastAsia="hi-IN" w:bidi="hi-IN"/>
        </w:rPr>
        <w:t xml:space="preserve">2022 год – </w:t>
      </w:r>
      <w:r>
        <w:rPr>
          <w:rFonts w:eastAsia="Calibri" w:cs="Times New Roman" w:ascii="Times New Roman" w:hAnsi="Times New Roman"/>
          <w:color w:val="auto"/>
          <w:kern w:val="2"/>
          <w:sz w:val="24"/>
          <w:szCs w:val="24"/>
          <w:lang w:val="ru-RU" w:eastAsia="hi-IN" w:bidi="hi-IN"/>
        </w:rPr>
        <w:t>68 665,1</w:t>
      </w:r>
      <w:r>
        <w:rPr>
          <w:rFonts w:cs="Times New Roman" w:ascii="Times New Roman" w:hAnsi="Times New Roman"/>
          <w:kern w:val="2"/>
          <w:sz w:val="24"/>
          <w:szCs w:val="24"/>
          <w:lang w:eastAsia="hi-IN" w:bidi="hi-IN"/>
        </w:rPr>
        <w:t xml:space="preserve"> тыс. рублей;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24"/>
        <w:jc w:val="left"/>
        <w:rPr/>
      </w:pPr>
      <w:r>
        <w:rPr>
          <w:rFonts w:cs="Times New Roman" w:ascii="Times New Roman" w:hAnsi="Times New Roman"/>
          <w:kern w:val="2"/>
          <w:sz w:val="24"/>
          <w:szCs w:val="24"/>
          <w:lang w:eastAsia="hi-IN" w:bidi="hi-IN"/>
        </w:rPr>
        <w:t xml:space="preserve">2023 год – </w:t>
      </w:r>
      <w:r>
        <w:rPr>
          <w:rFonts w:eastAsia="Calibri" w:cs="Times New Roman" w:ascii="Times New Roman" w:hAnsi="Times New Roman"/>
          <w:color w:val="auto"/>
          <w:kern w:val="2"/>
          <w:sz w:val="24"/>
          <w:szCs w:val="24"/>
          <w:lang w:val="ru-RU" w:eastAsia="hi-IN" w:bidi="hi-IN"/>
        </w:rPr>
        <w:t>43 666,9</w:t>
      </w:r>
      <w:r>
        <w:rPr>
          <w:rFonts w:cs="Times New Roman" w:ascii="Times New Roman" w:hAnsi="Times New Roman"/>
          <w:kern w:val="2"/>
          <w:sz w:val="24"/>
          <w:szCs w:val="24"/>
          <w:lang w:eastAsia="hi-IN" w:bidi="hi-IN"/>
        </w:rPr>
        <w:t xml:space="preserve"> тыс. рублей;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24"/>
        <w:jc w:val="left"/>
        <w:rPr/>
      </w:pPr>
      <w:r>
        <w:rPr>
          <w:rFonts w:cs="Times New Roman" w:ascii="Times New Roman" w:hAnsi="Times New Roman"/>
          <w:kern w:val="2"/>
          <w:sz w:val="24"/>
          <w:szCs w:val="24"/>
          <w:lang w:eastAsia="hi-IN" w:bidi="hi-IN"/>
        </w:rPr>
        <w:t xml:space="preserve">2024 год – </w:t>
      </w:r>
      <w:r>
        <w:rPr>
          <w:rFonts w:eastAsia="Calibri" w:cs="Times New Roman" w:ascii="Times New Roman" w:hAnsi="Times New Roman"/>
          <w:color w:val="auto"/>
          <w:kern w:val="2"/>
          <w:sz w:val="24"/>
          <w:szCs w:val="24"/>
          <w:lang w:val="ru-RU" w:eastAsia="hi-IN" w:bidi="hi-IN"/>
        </w:rPr>
        <w:t>42 034,7</w:t>
      </w:r>
      <w:r>
        <w:rPr>
          <w:rFonts w:cs="Times New Roman" w:ascii="Times New Roman" w:hAnsi="Times New Roman"/>
          <w:kern w:val="2"/>
          <w:sz w:val="24"/>
          <w:szCs w:val="24"/>
          <w:lang w:eastAsia="hi-IN" w:bidi="hi-IN"/>
        </w:rPr>
        <w:t xml:space="preserve"> тыс. рублей;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cs="Times New Roman" w:ascii="Times New Roman" w:hAnsi="Times New Roman"/>
          <w:kern w:val="2"/>
          <w:sz w:val="24"/>
          <w:szCs w:val="24"/>
          <w:lang w:eastAsia="hi-IN" w:bidi="hi-IN"/>
        </w:rPr>
        <w:t>2025 год – 24 895,0 тыс. рублей.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Финансовое обеспечение реализации муниципальной программы за счет средств бюджета района приведено в приложении 1 к муниципальной  программе.  </w:t>
      </w:r>
    </w:p>
    <w:p>
      <w:pPr>
        <w:pStyle w:val="Normal"/>
        <w:ind w:firstLine="567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highlight w:val="yellow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  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</w:r>
    </w:p>
    <w:p>
      <w:pPr>
        <w:pStyle w:val="ListParagraph"/>
        <w:widowControl w:val="false"/>
        <w:spacing w:lineRule="auto" w:line="240" w:before="0" w:after="120"/>
        <w:ind w:left="1080" w:hanging="0"/>
        <w:jc w:val="center"/>
        <w:rPr/>
      </w:pPr>
      <w:r>
        <w:rPr>
          <w:rFonts w:cs="Bookman Old Style" w:ascii="Bookman Old Style" w:hAnsi="Bookman Old Style"/>
          <w:b/>
          <w:bCs/>
          <w:color w:val="000000"/>
          <w:kern w:val="2"/>
          <w:sz w:val="24"/>
          <w:szCs w:val="24"/>
          <w:lang w:val="en-US" w:eastAsia="hi-IN" w:bidi="hi-IN"/>
        </w:rPr>
        <w:t>IV</w:t>
      </w:r>
      <w:r>
        <w:rPr>
          <w:rFonts w:cs="Bookman Old Style" w:ascii="Bookman Old Style" w:hAnsi="Bookman Old Style"/>
          <w:b/>
          <w:bCs/>
          <w:color w:val="000000"/>
          <w:kern w:val="2"/>
          <w:sz w:val="24"/>
          <w:szCs w:val="24"/>
          <w:lang w:eastAsia="hi-IN" w:bidi="hi-IN"/>
        </w:rPr>
        <w:t xml:space="preserve">. </w:t>
      </w: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  <w:t>Целевые показатели (индикаторы) достижения цели и решения задач муниципальной программы, прогноз конечных результатов реализации муниципальной программы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highlight w:val="yellow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Сведения о показателях (индикаторах) муниципальной программы приведены в приложении 2 к  муниципальной программе.</w:t>
      </w:r>
      <w:r>
        <w:rPr>
          <w:rFonts w:cs="Bookman Old Style" w:ascii="Bookman Old Style" w:hAnsi="Bookman Old Style"/>
          <w:kern w:val="2"/>
          <w:sz w:val="24"/>
          <w:szCs w:val="24"/>
          <w:highlight w:val="yellow"/>
          <w:lang w:eastAsia="hi-IN" w:bidi="hi-IN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highlight w:val="yellow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  <w:t xml:space="preserve">В качестве критериев планируемой эффективности реализации муниципальной программы применяются: 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highlight w:val="yellow"/>
          <w:lang w:eastAsia="hi-IN" w:bidi="hi-IN"/>
        </w:rPr>
        <w:t xml:space="preserve">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а) характеристика количественных показателей (индикаторов) муниципальной программы;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highlight w:val="yellow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б) характеристика качественной оценки изменений, происходящих в сфере физической культуры и спорта.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highlight w:val="yellow"/>
          <w:lang w:eastAsia="hi-IN" w:bidi="hi-IN"/>
        </w:rPr>
        <w:t xml:space="preserve">   </w:t>
      </w:r>
    </w:p>
    <w:p>
      <w:pPr>
        <w:pStyle w:val="Normal"/>
        <w:widowControl w:val="false"/>
        <w:spacing w:lineRule="auto" w:line="240" w:before="0" w:after="0"/>
        <w:jc w:val="both"/>
        <w:rPr>
          <w:highlight w:val="yellow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  <w:t xml:space="preserve">Реализация муниципальной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жителей района. 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  <w:t>Основным ожидаемым конечным результатом  муниципальной программы, достижение которого характеризу</w:t>
        <w:softHyphen/>
        <w:t>ется ростом количественных показателей и качественной оценкой изменений, происходящих в сфере физической культуры и спорта, является устойчивое развитие отрасли физической культуры и спорта и достижение к 2025 году следующих значений показателей: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- увеличение доли населения, систематически занимающегося физической культурой и спортом, в общей численности населения района в возрасте от 3 до 79 лет с  40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,2 % в 2019 году до 54,5 % в 2025 году;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kern w:val="2"/>
          <w:sz w:val="24"/>
          <w:szCs w:val="24"/>
          <w:lang w:eastAsia="hi-IN" w:bidi="hi-IN"/>
        </w:rPr>
        <w:t xml:space="preserve">- увеличение численности лиц, </w:t>
      </w:r>
      <w:r>
        <w:rPr>
          <w:rFonts w:ascii="Times New Roman" w:hAnsi="Times New Roman"/>
          <w:color w:val="000000"/>
          <w:sz w:val="24"/>
          <w:szCs w:val="24"/>
        </w:rPr>
        <w:t>занимающихся спортивной подготовкой</w:t>
      </w:r>
      <w:r>
        <w:rPr>
          <w:rFonts w:eastAsia="Times New Roman" w:ascii="Times New Roman" w:hAnsi="Times New Roman"/>
          <w:kern w:val="2"/>
          <w:sz w:val="24"/>
          <w:szCs w:val="24"/>
          <w:lang w:eastAsia="hi-IN" w:bidi="hi-IN"/>
        </w:rPr>
        <w:t xml:space="preserve">, </w:t>
      </w:r>
      <w:r>
        <w:rPr>
          <w:rFonts w:eastAsia="Times New Roman" w:ascii="Times New Roman" w:hAnsi="Times New Roman"/>
          <w:kern w:val="2"/>
          <w:sz w:val="24"/>
          <w:szCs w:val="20"/>
          <w:lang w:eastAsia="hi-IN" w:bidi="hi-IN"/>
        </w:rPr>
        <w:t>в соответствии с федеральными стандартами спортивной подготовки</w:t>
      </w:r>
      <w:r>
        <w:rPr>
          <w:rFonts w:eastAsia="Times New Roman" w:ascii="Times New Roman" w:hAnsi="Times New Roman"/>
          <w:kern w:val="2"/>
          <w:sz w:val="24"/>
          <w:szCs w:val="24"/>
          <w:lang w:eastAsia="hi-IN" w:bidi="hi-IN"/>
        </w:rPr>
        <w:t xml:space="preserve"> с 428 человек в 2019 году до 435 человек в 2025 году;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kern w:val="2"/>
          <w:sz w:val="24"/>
          <w:szCs w:val="24"/>
          <w:lang w:eastAsia="hi-IN" w:bidi="hi-IN"/>
        </w:rPr>
      </w:pPr>
      <w:r>
        <w:rPr>
          <w:rFonts w:eastAsia="Times New Roman" w:ascii="Times New Roman" w:hAnsi="Times New Roman"/>
          <w:kern w:val="2"/>
          <w:sz w:val="24"/>
          <w:szCs w:val="20"/>
          <w:lang w:eastAsia="hi-IN" w:bidi="hi-IN"/>
        </w:rPr>
        <w:t xml:space="preserve">- </w:t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у</w:t>
      </w:r>
      <w:r>
        <w:rPr>
          <w:rFonts w:eastAsia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величение коэффициента фактической загруженности спортивных сооружений, находящихся в оперативном управлении БУ «Центр ФКС», с 40,3% в 2019 году до 60,0% в 2025 году.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 w:eastAsia="Times New Roman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ascii="Times New Roman" w:hAnsi="Times New Roman"/>
          <w:kern w:val="2"/>
          <w:sz w:val="24"/>
          <w:szCs w:val="24"/>
          <w:lang w:eastAsia="hi-IN" w:bidi="hi-IN"/>
        </w:rPr>
        <w:tab/>
        <w:t>Методика расчета значений показателей (индикаторов) муниципальной программы приведена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 в приложении 3 к  муниципальной программе.</w:t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> 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Times New Roman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Times New Roman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>V. Характеристика мер правового регулирования в сфере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 xml:space="preserve">реализации муниципальной  программы 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eastAsia="Times New Roman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 приведены в приложении 4 к  муниципальной программе.</w:t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> 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 w:eastAsia="Times New Roman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>V</w:t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val="en-US" w:eastAsia="hi-IN" w:bidi="hi-IN"/>
        </w:rPr>
        <w:t>I</w:t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>. Обоснование выделения и включения в состав муниципальной  программы подпрограмм и их обобщенная характеристика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  <w:t>С целью обеспечения комплексного решения задач муниципальной программы и реализации за</w:t>
        <w:softHyphen/>
        <w:t>планированных мероприятий в структуру муниципальной программы включены две подпро</w:t>
        <w:softHyphen/>
        <w:t xml:space="preserve">граммы: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подпрограмма 1 </w:t>
      </w:r>
      <w:r>
        <w:rPr>
          <w:rFonts w:eastAsia="Times New Roman" w:cs="Bookman Old Style" w:ascii="Bookman Old Style" w:hAnsi="Bookman Old Style"/>
          <w:bCs/>
          <w:kern w:val="2"/>
          <w:sz w:val="24"/>
          <w:szCs w:val="24"/>
          <w:lang w:eastAsia="hi-IN" w:bidi="hi-IN"/>
        </w:rPr>
        <w:t xml:space="preserve">«Физическая культура и массовый спорт»  (приложение 5 к муниципальной программе);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подпрограмма 2 «Спортивная подготовка»</w:t>
      </w:r>
      <w:r>
        <w:rPr>
          <w:rFonts w:eastAsia="Times New Roman" w:cs="Bookman Old Style" w:ascii="Bookman Old Style" w:hAnsi="Bookman Old Style"/>
          <w:bCs/>
          <w:kern w:val="2"/>
          <w:sz w:val="24"/>
          <w:szCs w:val="24"/>
          <w:lang w:eastAsia="hi-IN" w:bidi="hi-IN"/>
        </w:rPr>
        <w:t xml:space="preserve"> (приложение 6 к муниципальной программе)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.          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  <w:t>Включение перечисленных подпрограмм в  муниципальную программу связано с особенностями районной системы физической культуры и спорта, а также необходимостью успешного решения приоритетных задач муниципальной  политики в сфере физической культуры и спорта.   Указанные состав</w:t>
        <w:softHyphen/>
        <w:t xml:space="preserve">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спорта.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  <w:t xml:space="preserve">В рамках подпрограммы 1 </w:t>
      </w:r>
      <w:r>
        <w:rPr>
          <w:rFonts w:eastAsia="Times New Roman" w:cs="Bookman Old Style" w:ascii="Bookman Old Style" w:hAnsi="Bookman Old Style"/>
          <w:bCs/>
          <w:kern w:val="2"/>
          <w:sz w:val="24"/>
          <w:szCs w:val="24"/>
          <w:lang w:eastAsia="hi-IN" w:bidi="hi-IN"/>
        </w:rPr>
        <w:t xml:space="preserve">«Физическая культура и массовый спорт» 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предстоит обеспечить:             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Bookman Old Style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- повышение качества системы физической культуры и спорта  в районе;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- популяризация комплекса ВФСК ГТО среди населения района;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- активизация пропаганды и популяризации физической культуры и спорта в средствах массовой информации.          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  <w:t xml:space="preserve">В рамках подпрограммы 2 «Спортивная подготовка» предстоит обеспечить: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- повышение качества спортивной подготовки спортсменов в соответствии с федеральными стандартами спортивной подготовки по видам спорта;</w:t>
      </w:r>
    </w:p>
    <w:p>
      <w:pPr>
        <w:sectPr>
          <w:footerReference w:type="default" r:id="rId3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60" w:charSpace="12288"/>
        </w:sect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- создание условий для формирования, подготовки и сохранения спортивного резерва.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Приложение 1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муниципальной программе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 w:cs="Bookman Old Style"/>
          <w:sz w:val="10"/>
          <w:szCs w:val="10"/>
          <w:shd w:fill="auto" w:val="clear"/>
        </w:rPr>
      </w:pPr>
      <w:r>
        <w:rPr>
          <w:rFonts w:cs="Bookman Old Style" w:ascii="Bookman Old Style" w:hAnsi="Bookman Old Style"/>
          <w:sz w:val="10"/>
          <w:szCs w:val="10"/>
          <w:shd w:fill="auto" w:val="clear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cs="Bookman Old Style"/>
          <w:b/>
          <w:b/>
          <w:kern w:val="2"/>
          <w:sz w:val="24"/>
          <w:szCs w:val="24"/>
          <w:shd w:fill="auto" w:val="clear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shd w:fill="auto" w:val="clear"/>
          <w:lang w:eastAsia="hi-IN" w:bidi="hi-IN"/>
        </w:rPr>
        <w:t>Финансовое обеспечение реализации 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Bookman Old Style" w:cs="Bookman Old Style" w:ascii="Bookman Old Style" w:hAnsi="Bookman Old Style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  <w:t xml:space="preserve">за счет средств бюджета района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tbl>
      <w:tblPr>
        <w:tblW w:w="16727" w:type="dxa"/>
        <w:jc w:val="center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3403"/>
        <w:gridCol w:w="4231"/>
        <w:gridCol w:w="1557"/>
        <w:gridCol w:w="1703"/>
        <w:gridCol w:w="1564"/>
        <w:gridCol w:w="1286"/>
        <w:gridCol w:w="1288"/>
        <w:gridCol w:w="1693"/>
      </w:tblGrid>
      <w:tr>
        <w:trPr>
          <w:tblHeader w:val="true"/>
          <w:trHeight w:val="320" w:hRule="atLeast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муниципальной программы, подпрограммы/ответственный исполнитель, соисполнители, участники муниципальной программы</w:t>
            </w:r>
          </w:p>
        </w:tc>
        <w:tc>
          <w:tcPr>
            <w:tcW w:w="4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9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Расходы (тыс. руб.)</w:t>
            </w:r>
          </w:p>
        </w:tc>
      </w:tr>
      <w:tr>
        <w:trPr>
          <w:tblHeader w:val="true"/>
          <w:trHeight w:val="1110" w:hRule="atLeast"/>
        </w:trPr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4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2021 год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2022 год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2023 год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2024 год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2025 год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Всего</w:t>
            </w:r>
          </w:p>
        </w:tc>
      </w:tr>
      <w:tr>
        <w:trPr>
          <w:tblHeader w:val="true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34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Итого  по муниципальной программе  «Развитие физической культуры и спорта в Грязовецком муниципальном районе на 2021-2025 годы»</w:t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41 996,3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68 665,1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43 666,9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42 034,7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24 895,0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221 258,0</w:t>
            </w:r>
          </w:p>
        </w:tc>
      </w:tr>
      <w:tr>
        <w:trPr/>
        <w:tc>
          <w:tcPr>
            <w:tcW w:w="340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37 415,6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45 178,0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40 313,3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42 034,7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24 895,0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189 836,6</w:t>
            </w:r>
          </w:p>
        </w:tc>
      </w:tr>
      <w:tr>
        <w:trPr>
          <w:trHeight w:val="487" w:hRule="atLeast"/>
        </w:trPr>
        <w:tc>
          <w:tcPr>
            <w:tcW w:w="340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2"/>
                <w:szCs w:val="22"/>
                <w:lang w:eastAsia="hi-IN" w:bidi="hi-IN"/>
              </w:rPr>
              <w:t>1 467,3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20 011,4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134,2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21 612,9</w:t>
            </w:r>
          </w:p>
        </w:tc>
      </w:tr>
      <w:tr>
        <w:trPr/>
        <w:tc>
          <w:tcPr>
            <w:tcW w:w="340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0,0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3 219,4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3 219,4</w:t>
            </w:r>
          </w:p>
        </w:tc>
      </w:tr>
      <w:tr>
        <w:trPr/>
        <w:tc>
          <w:tcPr>
            <w:tcW w:w="340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 xml:space="preserve">межбюджетные </w:t>
            </w: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  <w:t xml:space="preserve">трансферты </w:t>
            </w: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</w:rPr>
              <w:t>из бюджетов  поселений за счет собственных средств бюджетов  поселений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2"/>
                <w:sz w:val="22"/>
                <w:szCs w:val="22"/>
                <w:lang w:eastAsia="hi-IN" w:bidi="hi-IN"/>
              </w:rPr>
              <w:t xml:space="preserve">3 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113,4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3 475,7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6 589,1</w:t>
            </w:r>
          </w:p>
        </w:tc>
      </w:tr>
      <w:tr>
        <w:trPr/>
        <w:tc>
          <w:tcPr>
            <w:tcW w:w="340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Ответственный исполнитель муниципальной программы управление по культуре, спорту, туризму  администрации Грязовецкого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41 401,3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67 915,1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43 666,9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42 034,7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24 895,0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219 913,0</w:t>
            </w:r>
          </w:p>
        </w:tc>
      </w:tr>
      <w:tr>
        <w:trPr/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37 415,6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45  178,0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40 313,3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42 034,7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24 895,0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189 836,6</w:t>
            </w:r>
          </w:p>
        </w:tc>
      </w:tr>
      <w:tr>
        <w:trPr/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2"/>
                <w:szCs w:val="22"/>
                <w:lang w:eastAsia="hi-IN" w:bidi="hi-IN"/>
              </w:rPr>
              <w:t>1 467,3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20 011,4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134,2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21 612,9</w:t>
            </w:r>
          </w:p>
        </w:tc>
      </w:tr>
      <w:tr>
        <w:trPr/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0,0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3 219,4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3 219,4</w:t>
            </w:r>
          </w:p>
        </w:tc>
      </w:tr>
      <w:tr>
        <w:trPr/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 xml:space="preserve">межбюджетные </w:t>
            </w: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  <w:t xml:space="preserve">трансферты </w:t>
            </w: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</w:rPr>
              <w:t>из бюджетов  поселений за счет собственных средств бюджетов  поселений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2 518,4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2 725,7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5 244,1</w:t>
            </w:r>
          </w:p>
        </w:tc>
      </w:tr>
      <w:tr>
        <w:trPr/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34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 w:cs="Bookman Old Style"/>
              </w:rPr>
            </w:pPr>
            <w:r>
              <w:rPr>
                <w:rFonts w:eastAsia="Times New Roman" w:cs="Bookman Old Style" w:ascii="Bookman Old Style" w:hAnsi="Bookman Old Style"/>
              </w:rPr>
              <w:t>Участник муниципальной программы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 w:cs="Bookman Old Style"/>
              </w:rPr>
            </w:pPr>
            <w:r>
              <w:rPr>
                <w:rFonts w:eastAsia="Times New Roman" w:cs="Bookman Old Style" w:ascii="Bookman Old Style" w:hAnsi="Bookman Old Style"/>
              </w:rPr>
              <w:t>Управление образования Грзовецкого муниципального района</w:t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всего, в том числе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595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750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1345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,0</w:t>
            </w:r>
          </w:p>
        </w:tc>
      </w:tr>
      <w:tr>
        <w:trPr/>
        <w:tc>
          <w:tcPr>
            <w:tcW w:w="34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34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34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34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 xml:space="preserve">межбюджетные </w:t>
            </w: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  <w:t xml:space="preserve">трансферты </w:t>
            </w:r>
            <w:r>
              <w:rPr>
                <w:rFonts w:cs="Bookman Old Style" w:ascii="Bookman Old Style" w:hAnsi="Bookman Old Style"/>
                <w:color w:val="000000"/>
              </w:rPr>
              <w:t>из бюджетов  поселений за счет собственных средств бюджетов  поселений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595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750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1345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,0</w:t>
            </w:r>
          </w:p>
        </w:tc>
      </w:tr>
      <w:tr>
        <w:trPr/>
        <w:tc>
          <w:tcPr>
            <w:tcW w:w="34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Подпрограмма 1 «Физическая культура и массовый спорт»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0"/>
                <w:lang w:val="ru-RU" w:eastAsia="hi-IN" w:bidi="hi-IN"/>
              </w:rPr>
              <w:t>2 864,4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7 118,3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2 864,2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2 864,2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val="ru-RU" w:eastAsia="zh-CN" w:bidi="ar-SA"/>
              </w:rPr>
              <w:t>17 494,3</w:t>
            </w:r>
          </w:p>
        </w:tc>
      </w:tr>
      <w:tr>
        <w:trPr/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</w:rPr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Cs w:val="20"/>
                <w:lang w:eastAsia="hi-IN" w:bidi="hi-IN"/>
              </w:rPr>
              <w:t>1 955,9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6 143,9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2 864,2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2 864,2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val="ru-RU" w:eastAsia="zh-CN" w:bidi="ar-SA"/>
              </w:rPr>
              <w:t>15 611,4</w:t>
            </w:r>
          </w:p>
        </w:tc>
      </w:tr>
      <w:tr>
        <w:trPr/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</w:rPr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 xml:space="preserve">межбюджетные </w:t>
            </w: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  <w:t xml:space="preserve">трансферты </w:t>
            </w: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</w:rPr>
              <w:t>из бюджетов  поселений за счет собственных средств бюджетов  поселений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908,5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974,4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1 882,9</w:t>
            </w:r>
          </w:p>
        </w:tc>
      </w:tr>
      <w:tr>
        <w:trPr/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Подпрограмма 2 «Спортивная подготовка»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39 131,9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61 546,8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40 802,7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39 170,5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23 111,8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203 763,7</w:t>
            </w:r>
          </w:p>
        </w:tc>
      </w:tr>
      <w:tr>
        <w:trPr/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35 459,7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39 034,1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37 449,1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39 170,5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23 111,8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174 225,2</w:t>
            </w:r>
          </w:p>
        </w:tc>
      </w:tr>
      <w:tr>
        <w:trPr/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2"/>
                <w:szCs w:val="22"/>
                <w:lang w:eastAsia="hi-IN" w:bidi="hi-IN"/>
              </w:rPr>
              <w:t>1 467,3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20 011,4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134,2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21 612,9</w:t>
            </w:r>
          </w:p>
        </w:tc>
      </w:tr>
      <w:tr>
        <w:trPr/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3 219,4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3 219,4</w:t>
            </w:r>
          </w:p>
        </w:tc>
      </w:tr>
      <w:tr>
        <w:trPr/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 xml:space="preserve">межбюджетные </w:t>
            </w: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  <w:t xml:space="preserve">трансферты </w:t>
            </w: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</w:rPr>
              <w:t>из бюджетов  поселений за счет собственных средств бюджетов  поселений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2 204,9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2 501,3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4 706,2</w:t>
            </w:r>
          </w:p>
        </w:tc>
      </w:tr>
      <w:tr>
        <w:trPr/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b/>
          <w:b/>
          <w:kern w:val="2"/>
          <w:sz w:val="24"/>
          <w:szCs w:val="24"/>
          <w:shd w:fill="auto" w:val="clear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shd w:fill="auto" w:val="clear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hanging="0"/>
        <w:jc w:val="center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b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b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 xml:space="preserve">Приложение 2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к муниципальной программе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  <w:t xml:space="preserve">Сведения о показателях (индикаторах) муниципальной программы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tbl>
      <w:tblPr>
        <w:tblW w:w="5000" w:type="pct"/>
        <w:jc w:val="left"/>
        <w:tblInd w:w="-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744"/>
        <w:gridCol w:w="3030"/>
        <w:gridCol w:w="969"/>
        <w:gridCol w:w="900"/>
        <w:gridCol w:w="913"/>
        <w:gridCol w:w="1338"/>
        <w:gridCol w:w="1200"/>
        <w:gridCol w:w="1298"/>
        <w:gridCol w:w="1143"/>
        <w:gridCol w:w="1302"/>
      </w:tblGrid>
      <w:tr>
        <w:trPr/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-99" w:hanging="0"/>
              <w:jc w:val="center"/>
              <w:rPr/>
            </w:pPr>
            <w:r>
              <w:rPr>
                <w:rFonts w:cs="Bookman Old Style" w:ascii="Bookman Old Style" w:hAnsi="Bookman Old Style"/>
              </w:rPr>
              <w:t xml:space="preserve">N </w:t>
              <w:br/>
            </w:r>
            <w:r>
              <w:rPr>
                <w:rFonts w:cs="Bookman Old Style" w:ascii="Bookman Old Style" w:hAnsi="Bookman Old Style"/>
                <w:sz w:val="20"/>
                <w:szCs w:val="20"/>
              </w:rPr>
              <w:t>п/п</w:t>
            </w: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Задачи, направленные</w:t>
              <w:br/>
              <w:t>на достижение цели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 xml:space="preserve">Наименование </w:t>
              <w:br/>
              <w:t>показателя (индикатора)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Ед. измерения</w:t>
            </w:r>
          </w:p>
        </w:tc>
        <w:tc>
          <w:tcPr>
            <w:tcW w:w="8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Значение показателя (индикатора)</w:t>
            </w:r>
          </w:p>
        </w:tc>
      </w:tr>
      <w:tr>
        <w:trPr/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27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3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год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2020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год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год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год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2025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год</w:t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10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11</w:t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1.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  <w:t>Создание условий для развития физической культуры и массового спорта на территории Грязовецкого муниципального района</w:t>
            </w:r>
            <w:r>
              <w:rPr>
                <w:rFonts w:cs="Bookman Old Style" w:ascii="Bookman Old Style" w:hAnsi="Bookman Old Style"/>
                <w:sz w:val="24"/>
                <w:szCs w:val="24"/>
              </w:rPr>
              <w:t>, популяризация здорового образа жизни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доля населения, систематически занимающегося физической культурой и спортом, в общей численности населения района в возрасте от 3 до 79 лет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40,2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45,2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45,2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48,5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51,5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kern w:val="2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lang w:eastAsia="hi-IN" w:bidi="hi-IN"/>
              </w:rPr>
              <w:t>54,5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kern w:val="2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lang w:eastAsia="hi-IN" w:bidi="hi-IN"/>
              </w:rPr>
              <w:t>54,5</w:t>
            </w:r>
          </w:p>
        </w:tc>
      </w:tr>
      <w:tr>
        <w:trPr/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2.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  <w:t>О</w:t>
            </w:r>
            <w:r>
              <w:rPr>
                <w:rFonts w:eastAsia="Lucida Sans Unicode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  <w:t>беспечение спортивной подготовки в соответствии с федеральными стандартами спортивной подготовки по видам спорта, включенным во всероссийский реестр видов спорта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Bookman Old Style" w:ascii="Bookman Old Style" w:hAnsi="Bookman Old Style"/>
                <w:color w:val="000000"/>
                <w:kern w:val="2"/>
                <w:lang w:eastAsia="hi-IN" w:bidi="hi-IN"/>
              </w:rPr>
              <w:t xml:space="preserve">число лиц, </w:t>
            </w:r>
            <w:r>
              <w:rPr>
                <w:rFonts w:cs="Bookman Old Style" w:ascii="Bookman Old Style" w:hAnsi="Bookman Old Style"/>
                <w:color w:val="000000"/>
              </w:rPr>
              <w:t>занимающихся спортивной подготовкой,</w:t>
            </w:r>
            <w:r>
              <w:rPr>
                <w:rFonts w:cs="Bookman Old Style" w:ascii="Bookman Old Style" w:hAnsi="Bookman Old Style"/>
                <w:color w:val="000000"/>
                <w:kern w:val="2"/>
                <w:lang w:eastAsia="hi-IN" w:bidi="hi-IN"/>
              </w:rPr>
              <w:t xml:space="preserve"> в соответствии с федеральными стандартами спортивной подготовки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-109" w:hanging="106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lang w:eastAsia="hi-IN" w:bidi="hi-IN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428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448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430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lang w:eastAsia="hi-IN" w:bidi="hi-IN"/>
              </w:rPr>
              <w:t>430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lang w:eastAsia="hi-IN" w:bidi="hi-IN"/>
              </w:rPr>
              <w:t>431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lang w:eastAsia="hi-IN" w:bidi="hi-IN"/>
              </w:rPr>
              <w:t>433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lang w:eastAsia="hi-IN" w:bidi="hi-IN"/>
              </w:rPr>
              <w:t>435</w:t>
            </w:r>
          </w:p>
        </w:tc>
      </w:tr>
      <w:tr>
        <w:trPr/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27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lang w:eastAsia="hi-IN" w:bidi="hi-IN"/>
              </w:rPr>
              <w:t>коэффициент фактической загруженности спортивных сооружений, находящихся в оперативном управлении БУ «Центр ФКС»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-109" w:hanging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lang w:eastAsia="hi-IN" w:bidi="hi-IN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</w:rPr>
              <w:t>40,3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</w:rPr>
              <w:t>40,3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43,0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59,3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59,6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6</w:t>
            </w: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60</w:t>
            </w:r>
            <w:r>
              <w:rPr>
                <w:rFonts w:eastAsia="Calibri" w:cs="Times New Roman" w:ascii="Times New Roman" w:hAnsi="Times New Roman"/>
                <w:color w:val="000000"/>
              </w:rPr>
              <w:t>,0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b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b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b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b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b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b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b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Приложение 3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к муниципальной  программе</w:t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cs="Bookman Old Style"/>
          <w:b/>
          <w:b/>
          <w:bCs/>
          <w:color w:val="000000"/>
          <w:sz w:val="24"/>
          <w:szCs w:val="24"/>
        </w:rPr>
      </w:pPr>
      <w:r>
        <w:rPr>
          <w:rFonts w:cs="Bookman Old Style" w:ascii="Bookman Old Style" w:hAnsi="Bookman Old Style"/>
          <w:b/>
          <w:bCs/>
          <w:color w:val="000000"/>
          <w:sz w:val="24"/>
          <w:szCs w:val="24"/>
        </w:rPr>
        <w:t>Методика расчета значений показателей</w:t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cs="Bookman Old Style"/>
          <w:b/>
          <w:b/>
          <w:bCs/>
          <w:color w:val="000000"/>
          <w:sz w:val="24"/>
          <w:szCs w:val="24"/>
        </w:rPr>
      </w:pPr>
      <w:r>
        <w:rPr>
          <w:rFonts w:cs="Bookman Old Style" w:ascii="Bookman Old Style" w:hAnsi="Bookman Old Style"/>
          <w:b/>
          <w:bCs/>
          <w:color w:val="000000"/>
          <w:sz w:val="24"/>
          <w:szCs w:val="24"/>
        </w:rPr>
        <w:t>(индикаторов)  муниципальной программы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Bookman Old Style" w:hAnsi="Bookman Old Style" w:cs="Bookman Old Style"/>
          <w:color w:val="000000"/>
          <w:sz w:val="10"/>
          <w:szCs w:val="10"/>
        </w:rPr>
      </w:pPr>
      <w:r>
        <w:rPr>
          <w:rFonts w:cs="Bookman Old Style" w:ascii="Bookman Old Style" w:hAnsi="Bookman Old Style"/>
          <w:color w:val="000000"/>
          <w:sz w:val="10"/>
          <w:szCs w:val="10"/>
        </w:rPr>
      </w:r>
    </w:p>
    <w:tbl>
      <w:tblPr>
        <w:tblW w:w="15546" w:type="dxa"/>
        <w:jc w:val="left"/>
        <w:tblInd w:w="-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401"/>
        <w:gridCol w:w="2163"/>
        <w:gridCol w:w="1351"/>
        <w:gridCol w:w="4816"/>
        <w:gridCol w:w="3079"/>
      </w:tblGrid>
      <w:tr>
        <w:trPr/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 xml:space="preserve">N </w:t>
              <w:br/>
              <w:t>п/п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Обозначение и наимено</w:t>
              <w:softHyphen/>
              <w:t>вание показателя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(индикатора)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Формула расчета</w:t>
            </w:r>
          </w:p>
        </w:tc>
        <w:tc>
          <w:tcPr>
            <w:tcW w:w="9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Исходные данные для расчета значений показателя</w:t>
            </w:r>
          </w:p>
        </w:tc>
      </w:tr>
      <w:tr>
        <w:trPr/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Обозначение переменной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Наименование переменной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Источник исходных данных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6</w:t>
            </w:r>
          </w:p>
        </w:tc>
      </w:tr>
      <w:tr>
        <w:trPr/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1.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Дз  - доля населения, систематически занимающегося физической культурой и спортом, в общей численности населения района в возрасте от 3 до 79 лет, %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Дз = Чз / (Чн - Чнп) х 100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Чз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численность занимающихся физической культурой и спортом от 3 до 79 лет в отчетном году, человек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форма ежегодного федерального статистического наблюдения № 1-ФК (свод)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34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Чн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21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численность населения от 3 до 79 лет по состоянию на 1 января отчетного года, человек</w:t>
            </w: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Bookman Old Style" w:ascii="Bookman Old Style" w:hAnsi="Bookman Old Style"/>
                <w:color w:val="000000"/>
              </w:rPr>
              <w:t>статистические данные, предоставляемые Департаментом ФкиС (данные Вологдастат, ОПФР  по Вологодской области, здравоохранения)</w:t>
            </w:r>
          </w:p>
        </w:tc>
      </w:tr>
      <w:tr>
        <w:trPr/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709"/>
              <w:jc w:val="center"/>
              <w:rPr>
                <w:rFonts w:ascii="Bookman Old Style" w:hAnsi="Bookman Old Style" w:cs="Bookman Old Style"/>
                <w:b/>
                <w:b/>
                <w:color w:val="000000"/>
              </w:rPr>
            </w:pPr>
            <w:r>
              <w:rPr>
                <w:rFonts w:cs="Bookman Old Style" w:ascii="Bookman Old Style" w:hAnsi="Bookman Old Style"/>
                <w:b/>
                <w:color w:val="000000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709"/>
              <w:rPr>
                <w:rFonts w:ascii="Bookman Old Style" w:hAnsi="Bookman Old Style" w:cs="Bookman Old Style"/>
                <w:b/>
                <w:b/>
                <w:color w:val="000000"/>
                <w:highlight w:val="yellow"/>
              </w:rPr>
            </w:pPr>
            <w:r>
              <w:rPr>
                <w:rFonts w:cs="Bookman Old Style" w:ascii="Bookman Old Style" w:hAnsi="Bookman Old Style"/>
                <w:b/>
                <w:color w:val="000000"/>
                <w:highlight w:val="yellow"/>
              </w:rPr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709"/>
              <w:jc w:val="center"/>
              <w:rPr>
                <w:rFonts w:ascii="Bookman Old Style" w:hAnsi="Bookman Old Style" w:cs="Bookman Old Style"/>
                <w:b/>
                <w:b/>
                <w:color w:val="000000"/>
                <w:highlight w:val="yellow"/>
              </w:rPr>
            </w:pPr>
            <w:r>
              <w:rPr>
                <w:rFonts w:cs="Bookman Old Style" w:ascii="Bookman Old Style" w:hAnsi="Bookman Old Style"/>
                <w:b/>
                <w:color w:val="000000"/>
                <w:highlight w:val="yellow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34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Чнп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21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численность населения от 3 до 79 лет, имеющего противопоказания и ограничения для  занятий физической культурой и спортом, по состоянию на 1 января отчетного года, человек</w:t>
            </w:r>
          </w:p>
        </w:tc>
        <w:tc>
          <w:tcPr>
            <w:tcW w:w="3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709"/>
              <w:jc w:val="center"/>
              <w:rPr>
                <w:rFonts w:ascii="Bookman Old Style" w:hAnsi="Bookman Old Style" w:cs="Bookman Old Style"/>
                <w:b/>
                <w:b/>
                <w:color w:val="000000"/>
              </w:rPr>
            </w:pPr>
            <w:r>
              <w:rPr>
                <w:rFonts w:cs="Bookman Old Style" w:ascii="Bookman Old Style" w:hAnsi="Bookman Old Style"/>
                <w:b/>
                <w:color w:val="000000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6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Bookman Old Style" w:ascii="Bookman Old Style" w:hAnsi="Bookman Old Style"/>
                <w:color w:val="000000"/>
                <w:lang w:val="en-US"/>
              </w:rPr>
              <w:t>S</w:t>
            </w:r>
            <w:r>
              <w:rPr>
                <w:rFonts w:cs="Bookman Old Style" w:ascii="Bookman Old Style" w:hAnsi="Bookman Old Style"/>
                <w:color w:val="000000"/>
              </w:rPr>
              <w:t>чел - число лиц, занимающихся спортивной подготовкой</w:t>
            </w:r>
            <w:r>
              <w:rPr>
                <w:color w:val="000000"/>
              </w:rPr>
              <w:t xml:space="preserve"> </w:t>
            </w:r>
            <w:r>
              <w:rPr>
                <w:rFonts w:cs="Bookman Old Style" w:ascii="Bookman Old Style" w:hAnsi="Bookman Old Style"/>
                <w:color w:val="000000"/>
              </w:rPr>
              <w:t>в соответствии с федеральными стандартами спортивной подготовки, человек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Bookman Old Style" w:ascii="Bookman Old Style" w:hAnsi="Bookman Old Style"/>
                <w:color w:val="000000"/>
                <w:lang w:val="en-US"/>
              </w:rPr>
              <w:t>S</w:t>
            </w:r>
            <w:r>
              <w:rPr>
                <w:rFonts w:cs="Bookman Old Style" w:ascii="Bookman Old Style" w:hAnsi="Bookman Old Style"/>
                <w:color w:val="000000"/>
              </w:rPr>
              <w:t>чел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Bookman Old Style" w:ascii="Bookman Old Style" w:hAnsi="Bookman Old Style"/>
                <w:color w:val="000000"/>
                <w:lang w:val="en-US"/>
              </w:rPr>
              <w:t>S</w:t>
            </w:r>
            <w:r>
              <w:rPr>
                <w:rFonts w:cs="Bookman Old Style" w:ascii="Bookman Old Style" w:hAnsi="Bookman Old Style"/>
                <w:color w:val="000000"/>
              </w:rPr>
              <w:t>чел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Bookman Old Style" w:ascii="Bookman Old Style" w:hAnsi="Bookman Old Style"/>
                <w:color w:val="000000"/>
              </w:rPr>
              <w:t>число лиц, занимающихся спортивной подготовкой</w:t>
            </w:r>
            <w:r>
              <w:rPr>
                <w:color w:val="000000"/>
              </w:rPr>
              <w:t xml:space="preserve"> </w:t>
            </w:r>
            <w:r>
              <w:rPr>
                <w:rFonts w:cs="Bookman Old Style" w:ascii="Bookman Old Style" w:hAnsi="Bookman Old Style"/>
                <w:color w:val="000000"/>
              </w:rPr>
              <w:t>в соответствии с федеральными стандартами спортивной подготовки в отчетном году, человек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176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форма ежегодного федерального статистического наблюдения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176"/>
              <w:jc w:val="center"/>
              <w:rPr/>
            </w:pPr>
            <w:r>
              <w:rPr>
                <w:rFonts w:cs="Bookman Old Style" w:ascii="Bookman Old Style" w:hAnsi="Bookman Old Style"/>
                <w:color w:val="000000"/>
              </w:rPr>
              <w:t>№</w:t>
            </w:r>
            <w:r>
              <w:rPr>
                <w:rFonts w:eastAsia="Bookman Old Style" w:cs="Bookman Old Style" w:ascii="Bookman Old Style" w:hAnsi="Bookman Old Style"/>
                <w:color w:val="000000"/>
              </w:rPr>
              <w:t xml:space="preserve"> </w:t>
            </w:r>
            <w:r>
              <w:rPr>
                <w:rFonts w:cs="Bookman Old Style" w:ascii="Bookman Old Style" w:hAnsi="Bookman Old Style"/>
                <w:color w:val="000000"/>
              </w:rPr>
              <w:t>5-ФК, № 3-АФК (свод)</w:t>
            </w:r>
          </w:p>
        </w:tc>
      </w:tr>
      <w:tr>
        <w:trPr/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6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3.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Calibri" w:cs="Bookman Old Style" w:ascii="Bookman Old Style" w:hAnsi="Bookman Old Style"/>
                <w:color w:val="000000"/>
              </w:rPr>
              <w:t>Кз</w:t>
            </w:r>
            <w:r>
              <w:rPr>
                <w:rFonts w:cs="Bookman Old Style" w:ascii="Bookman Old Style" w:hAnsi="Bookman Old Style"/>
                <w:color w:val="000000"/>
              </w:rPr>
              <w:t xml:space="preserve"> -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lang w:eastAsia="hi-IN" w:bidi="hi-IN"/>
              </w:rPr>
              <w:t xml:space="preserve">коэффициент фактической загруженности спортивных сооружений, находящихся в оперативном управлении БУ «Центр ФКС»,  </w:t>
            </w:r>
            <w:r>
              <w:rPr>
                <w:rFonts w:eastAsia="Times New Roman" w:cs="Bookman Old Style" w:ascii="Bookman Old Style" w:hAnsi="Bookman Old Style"/>
                <w:color w:val="000000"/>
                <w:kern w:val="2"/>
                <w:lang w:eastAsia="hi-IN" w:bidi="hi-IN"/>
              </w:rPr>
              <w:t>%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6" w:leader="none"/>
              </w:tabs>
              <w:spacing w:lineRule="auto" w:line="240" w:before="0" w:after="0"/>
              <w:ind w:left="-108" w:right="0" w:hanging="0"/>
              <w:jc w:val="both"/>
              <w:rPr>
                <w:rFonts w:ascii="Bookman Old Style" w:hAnsi="Bookman Old Style" w:eastAsia="Calibri" w:cs="Bookman Old Style"/>
                <w:color w:val="000000"/>
              </w:rPr>
            </w:pPr>
            <w:r>
              <w:rPr>
                <w:rFonts w:eastAsia="Calibri" w:cs="Bookman Old Style" w:ascii="Bookman Old Style" w:hAnsi="Bookman Old Style"/>
                <w:color w:val="000000"/>
              </w:rPr>
              <w:t>Кз = Фз / Мс  х 100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566" w:leader="none"/>
              </w:tabs>
              <w:spacing w:lineRule="auto" w:line="240" w:before="0" w:after="0"/>
              <w:ind w:left="-108" w:right="0" w:hanging="0"/>
              <w:jc w:val="center"/>
              <w:rPr>
                <w:rFonts w:ascii="Bookman Old Style" w:hAnsi="Bookman Old Style" w:cs="Bookman Old Style"/>
                <w:color w:val="000000"/>
                <w:shd w:fill="FFFF00" w:val="clear"/>
              </w:rPr>
            </w:pPr>
            <w:r>
              <w:rPr>
                <w:rFonts w:cs="Bookman Old Style" w:ascii="Bookman Old Style" w:hAnsi="Bookman Old Style"/>
                <w:color w:val="000000"/>
                <w:shd w:fill="FFFF00" w:val="clear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34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</w:rPr>
              <w:t>Фз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21"/>
              <w:rPr/>
            </w:pPr>
            <w:r>
              <w:rPr>
                <w:rFonts w:cs="Times New Roman" w:ascii="Times New Roman" w:hAnsi="Times New Roman"/>
                <w:color w:val="000000"/>
              </w:rPr>
              <w:t>Ф</w:t>
            </w:r>
            <w:r>
              <w:rPr>
                <w:rFonts w:eastAsia="Calibri" w:cs="Times New Roman" w:ascii="Times New Roman" w:hAnsi="Times New Roman"/>
                <w:color w:val="000000"/>
              </w:rPr>
              <w:t>з</w:t>
            </w:r>
            <w:r>
              <w:rPr>
                <w:rFonts w:cs="Times New Roman" w:ascii="Times New Roman" w:hAnsi="Times New Roman"/>
                <w:color w:val="000000"/>
              </w:rPr>
              <w:t xml:space="preserve"> - фактическая годовая загруженность спортивных сооружений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lang w:eastAsia="hi-IN" w:bidi="hi-IN"/>
              </w:rPr>
              <w:t>, находящихся в оперативном управлении БУ «Центр ФКС»,</w:t>
            </w:r>
            <w:r>
              <w:rPr>
                <w:rFonts w:eastAsia="Times New Roman" w:cs="Bookman Old Style" w:ascii="Bookman Old Style" w:hAnsi="Bookman Old Style"/>
                <w:color w:val="000000"/>
                <w:kern w:val="2"/>
                <w:lang w:eastAsia="hi-IN" w:bidi="hi-IN"/>
              </w:rPr>
              <w:t>человек</w:t>
            </w: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форма ежегодного федерального статистического наблюдения № 1-ФК (БУ «Центр ФКС»)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  <w:shd w:fill="FFFF00" w:val="clear"/>
              </w:rPr>
            </w:pPr>
            <w:r>
              <w:rPr>
                <w:rFonts w:cs="Bookman Old Style" w:ascii="Bookman Old Style" w:hAnsi="Bookman Old Style"/>
                <w:color w:val="000000"/>
                <w:shd w:fill="FFFF00" w:val="clear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60"/>
              <w:jc w:val="center"/>
              <w:rPr>
                <w:rFonts w:ascii="Bookman Old Style" w:hAnsi="Bookman Old Style" w:cs="Bookman Old Style"/>
                <w:color w:val="000000"/>
                <w:shd w:fill="FFFF00" w:val="clear"/>
              </w:rPr>
            </w:pPr>
            <w:r>
              <w:rPr>
                <w:rFonts w:cs="Bookman Old Style" w:ascii="Bookman Old Style" w:hAnsi="Bookman Old Style"/>
                <w:color w:val="000000"/>
                <w:shd w:fill="FFFF00" w:val="clear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Bookman Old Style" w:hAnsi="Bookman Old Style" w:eastAsia="Lucida Sans Unicode" w:cs="Bookman Old Style"/>
                <w:b/>
                <w:b/>
                <w:color w:val="000000"/>
                <w:kern w:val="2"/>
                <w:sz w:val="24"/>
                <w:szCs w:val="24"/>
                <w:shd w:fill="FFFF00" w:val="clear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b/>
                <w:color w:val="000000"/>
                <w:kern w:val="2"/>
                <w:sz w:val="24"/>
                <w:szCs w:val="24"/>
                <w:shd w:fill="FFFF00" w:val="clear"/>
                <w:lang w:eastAsia="hi-IN" w:bidi="hi-IN"/>
              </w:rPr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6" w:leader="none"/>
              </w:tabs>
              <w:snapToGrid w:val="false"/>
              <w:spacing w:lineRule="auto" w:line="240" w:before="0" w:after="0"/>
              <w:ind w:left="-108" w:right="0" w:hanging="0"/>
              <w:jc w:val="both"/>
              <w:rPr>
                <w:rFonts w:ascii="Bookman Old Style" w:hAnsi="Bookman Old Style" w:eastAsia="Lucida Sans Unicode" w:cs="Bookman Old Style"/>
                <w:b/>
                <w:b/>
                <w:color w:val="000000"/>
                <w:kern w:val="2"/>
                <w:sz w:val="24"/>
                <w:szCs w:val="24"/>
                <w:shd w:fill="FFFF00" w:val="clear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b/>
                <w:color w:val="000000"/>
                <w:kern w:val="2"/>
                <w:sz w:val="24"/>
                <w:szCs w:val="24"/>
                <w:shd w:fill="FFFF00" w:val="clear"/>
                <w:lang w:eastAsia="hi-IN" w:bidi="hi-IN"/>
              </w:rPr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Мс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21"/>
              <w:rPr/>
            </w:pPr>
            <w:r>
              <w:rPr>
                <w:rFonts w:cs="Times New Roman" w:ascii="Times New Roman" w:hAnsi="Times New Roman"/>
                <w:color w:val="000000"/>
              </w:rPr>
              <w:t>М</w:t>
            </w:r>
            <w:r>
              <w:rPr>
                <w:rFonts w:eastAsia="Calibri" w:cs="Times New Roman" w:ascii="Times New Roman" w:hAnsi="Times New Roman"/>
                <w:color w:val="000000"/>
              </w:rPr>
              <w:t>с</w:t>
            </w:r>
            <w:r>
              <w:rPr>
                <w:rFonts w:cs="Times New Roman" w:ascii="Times New Roman" w:hAnsi="Times New Roman"/>
                <w:color w:val="000000"/>
              </w:rPr>
              <w:t xml:space="preserve"> - годовая мощность спортивных сооружений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lang w:eastAsia="hi-IN" w:bidi="hi-IN"/>
              </w:rPr>
              <w:t xml:space="preserve">, находящихся в оперативном управлении БУ «Центр ФКС», </w:t>
            </w:r>
            <w:r>
              <w:rPr>
                <w:rFonts w:eastAsia="Times New Roman" w:cs="Bookman Old Style" w:ascii="Bookman Old Style" w:hAnsi="Bookman Old Style"/>
                <w:color w:val="000000"/>
                <w:kern w:val="2"/>
                <w:lang w:eastAsia="hi-IN" w:bidi="hi-IN"/>
              </w:rPr>
              <w:t>человек</w:t>
            </w:r>
          </w:p>
        </w:tc>
        <w:tc>
          <w:tcPr>
            <w:tcW w:w="3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9072" w:right="0" w:hanging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b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b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Приложение 4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к муниципальной  программе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Сведения об основных мерах правового регулирования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в сфере реализации муниципальной программы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tbl>
      <w:tblPr>
        <w:tblW w:w="15120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595"/>
        <w:gridCol w:w="2949"/>
        <w:gridCol w:w="4820"/>
        <w:gridCol w:w="3685"/>
        <w:gridCol w:w="3071"/>
      </w:tblGrid>
      <w:tr>
        <w:trPr>
          <w:trHeight w:val="60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cs="Times New Roman" w:ascii="Bookman Old Style" w:hAnsi="Bookman Old Style"/>
                <w:sz w:val="20"/>
                <w:szCs w:val="20"/>
              </w:rPr>
              <w:t xml:space="preserve">N </w:t>
              <w:br/>
              <w:t>п/п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cs="Times New Roman" w:ascii="Bookman Old Style" w:hAnsi="Bookman Old Style"/>
                <w:sz w:val="20"/>
                <w:szCs w:val="20"/>
              </w:rPr>
              <w:t>Вид нормативного</w:t>
              <w:br/>
              <w:t>правового акта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cs="Times New Roman" w:ascii="Bookman Old Style" w:hAnsi="Bookman Old Style"/>
                <w:sz w:val="20"/>
                <w:szCs w:val="20"/>
              </w:rPr>
              <w:t>Основные положения нормативного</w:t>
              <w:br/>
              <w:t>правового акта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cs="Times New Roman" w:ascii="Bookman Old Style" w:hAnsi="Bookman Old Style"/>
                <w:sz w:val="20"/>
                <w:szCs w:val="20"/>
              </w:rPr>
              <w:t>Ответственный</w:t>
              <w:br/>
              <w:t>исполнитель, соисполнитель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cs="Times New Roman" w:ascii="Bookman Old Style" w:hAnsi="Bookman Old Style"/>
                <w:sz w:val="20"/>
                <w:szCs w:val="20"/>
              </w:rPr>
              <w:t xml:space="preserve">Сроки   </w:t>
              <w:br/>
              <w:t>принятия</w:t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cs="Times New Roman"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cs="Times New Roman"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cs="Times New Roman"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cs="Times New Roman"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cs="Times New Roman" w:ascii="Bookman Old Style" w:hAnsi="Bookman Old Style"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151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Муниципальная программа «Развитие физической культуры и спорта в</w:t>
            </w:r>
          </w:p>
          <w:p>
            <w:pPr>
              <w:pStyle w:val="ConsPlusCell"/>
              <w:widowControl w:val="false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Грязовецком муниципальном районе на 2021-2025 годы</w:t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1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Распоряжение администрации Грязовецкого муниципального района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утверждение  </w:t>
            </w:r>
            <w:r>
              <w:rPr>
                <w:rFonts w:ascii="Bookman Old Style" w:hAnsi="Bookman Old Style"/>
                <w:bCs/>
              </w:rPr>
              <w:t xml:space="preserve">календарного плана официальных физкультурных мероприятий и спортивных мероприятий в </w:t>
            </w:r>
            <w:r>
              <w:rPr>
                <w:rStyle w:val="FontStyle12"/>
                <w:rFonts w:eastAsia="" w:ascii="Bookman Old Style" w:hAnsi="Bookman Old Style" w:eastAsiaTheme="minorEastAsia"/>
              </w:rPr>
              <w:t>Грязовецком муниципальном районе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управление по культуре, спорту, туризму администрации района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ежегодно не позднее 25 декабря, предшествующего соответствующему календарному году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737" w:right="737" w:header="720" w:top="1134" w:footer="397" w:bottom="1134" w:gutter="0"/>
          <w:pgNumType w:fmt="decimal"/>
          <w:formProt w:val="false"/>
          <w:textDirection w:val="lrTb"/>
          <w:docGrid w:type="default" w:linePitch="100" w:charSpace="12288"/>
        </w:sectPr>
      </w:pP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jc w:val="right"/>
        <w:rPr>
          <w:rFonts w:ascii="Bookman Old Style" w:hAnsi="Bookman Old Style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Bookman Old Style" w:hAnsi="Bookman Old Style"/>
          <w:color w:val="000000"/>
          <w:sz w:val="24"/>
          <w:szCs w:val="24"/>
          <w:lang w:eastAsia="ru-RU"/>
        </w:rPr>
        <w:t xml:space="preserve">Приложение 5 </w:t>
      </w:r>
    </w:p>
    <w:p>
      <w:pPr>
        <w:pStyle w:val="Normal"/>
        <w:spacing w:lineRule="auto" w:line="240" w:before="0" w:after="0"/>
        <w:jc w:val="right"/>
        <w:rPr>
          <w:rFonts w:ascii="Bookman Old Style" w:hAnsi="Bookman Old Style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Bookman Old Style" w:hAnsi="Bookman Old Style"/>
          <w:color w:val="000000"/>
          <w:sz w:val="24"/>
          <w:szCs w:val="24"/>
          <w:lang w:eastAsia="ru-RU"/>
        </w:rPr>
        <w:t>к муниципальной программе</w:t>
      </w:r>
    </w:p>
    <w:p>
      <w:pPr>
        <w:pStyle w:val="Normal"/>
        <w:widowControl w:val="false"/>
        <w:spacing w:lineRule="auto" w:line="240" w:before="0" w:after="0"/>
        <w:rPr>
          <w:rFonts w:ascii="Bookman Old Style" w:hAnsi="Bookman Old Style" w:eastAsia="Times New Roman"/>
          <w:b/>
          <w:b/>
          <w:caps/>
          <w:kern w:val="2"/>
          <w:sz w:val="24"/>
          <w:szCs w:val="24"/>
          <w:lang w:eastAsia="hi-IN" w:bidi="hi-IN"/>
        </w:rPr>
      </w:pPr>
      <w:r>
        <w:rPr>
          <w:rFonts w:eastAsia="Times New Roman" w:ascii="Bookman Old Style" w:hAnsi="Bookman Old Style"/>
          <w:b/>
          <w:caps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Times New Roman"/>
          <w:b/>
          <w:b/>
          <w:caps/>
          <w:kern w:val="2"/>
          <w:sz w:val="24"/>
          <w:szCs w:val="24"/>
          <w:lang w:eastAsia="hi-IN" w:bidi="hi-IN"/>
        </w:rPr>
      </w:pPr>
      <w:r>
        <w:rPr>
          <w:rFonts w:eastAsia="Times New Roman" w:ascii="Bookman Old Style" w:hAnsi="Bookman Old Style"/>
          <w:b/>
          <w:caps/>
          <w:kern w:val="2"/>
          <w:sz w:val="24"/>
          <w:szCs w:val="24"/>
          <w:lang w:eastAsia="hi-IN" w:bidi="hi-IN"/>
        </w:rPr>
        <w:t>Подпрограмма 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Lucida Sans Unicode" w:cs="Mangal"/>
          <w:b/>
          <w:b/>
          <w:kern w:val="2"/>
          <w:sz w:val="24"/>
          <w:szCs w:val="24"/>
          <w:lang w:eastAsia="hi-IN" w:bidi="hi-IN"/>
        </w:rPr>
      </w:pPr>
      <w:r>
        <w:rPr>
          <w:rFonts w:eastAsia="Lucida Sans Unicode" w:cs="Mangal" w:ascii="Bookman Old Style" w:hAnsi="Bookman Old Style"/>
          <w:b/>
          <w:kern w:val="2"/>
          <w:sz w:val="24"/>
          <w:szCs w:val="24"/>
          <w:lang w:eastAsia="hi-IN" w:bidi="hi-IN"/>
        </w:rPr>
        <w:t>«Физическая культура и массовый спорт»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Lucida Sans Unicode" w:cs="Mangal"/>
          <w:b/>
          <w:b/>
          <w:kern w:val="2"/>
          <w:sz w:val="24"/>
          <w:szCs w:val="24"/>
          <w:lang w:eastAsia="hi-IN" w:bidi="hi-IN"/>
        </w:rPr>
      </w:pPr>
      <w:r>
        <w:rPr>
          <w:rFonts w:eastAsia="Lucida Sans Unicode" w:cs="Mangal" w:ascii="Bookman Old Style" w:hAnsi="Bookman Old Style"/>
          <w:b/>
          <w:kern w:val="2"/>
          <w:sz w:val="24"/>
          <w:szCs w:val="24"/>
          <w:lang w:eastAsia="hi-IN" w:bidi="hi-IN"/>
        </w:rPr>
        <w:t>(далее - подпрограмма 1)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Lucida Sans Unicode" w:cs="Mangal"/>
          <w:b/>
          <w:b/>
          <w:kern w:val="2"/>
          <w:sz w:val="24"/>
          <w:szCs w:val="24"/>
          <w:lang w:eastAsia="hi-IN" w:bidi="hi-IN"/>
        </w:rPr>
      </w:pPr>
      <w:r>
        <w:rPr>
          <w:rFonts w:eastAsia="Lucida Sans Unicode" w:cs="Mangal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Lucida Sans Unicode" w:cs="Mangal"/>
          <w:b/>
          <w:b/>
          <w:kern w:val="2"/>
          <w:sz w:val="24"/>
          <w:szCs w:val="24"/>
          <w:lang w:eastAsia="hi-IN" w:bidi="hi-IN"/>
        </w:rPr>
      </w:pPr>
      <w:r>
        <w:rPr>
          <w:rFonts w:eastAsia="Lucida Sans Unicode" w:cs="Mangal" w:ascii="Bookman Old Style" w:hAnsi="Bookman Old Style"/>
          <w:b/>
          <w:kern w:val="2"/>
          <w:sz w:val="24"/>
          <w:szCs w:val="24"/>
          <w:lang w:eastAsia="hi-IN" w:bidi="hi-IN"/>
        </w:rPr>
        <w:t>Паспорт подпрограммы 1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1"/>
        <w:rPr>
          <w:rFonts w:ascii="Bookman Old Style" w:hAnsi="Bookman Old Style" w:eastAsia="Times New Roman"/>
          <w:kern w:val="2"/>
          <w:sz w:val="24"/>
          <w:szCs w:val="24"/>
          <w:lang w:eastAsia="hi-IN" w:bidi="hi-IN"/>
        </w:rPr>
      </w:pPr>
      <w:r>
        <w:rPr>
          <w:rFonts w:eastAsia="Times New Roman" w:ascii="Bookman Old Style" w:hAnsi="Bookman Old Style"/>
          <w:kern w:val="2"/>
          <w:sz w:val="24"/>
          <w:szCs w:val="24"/>
          <w:lang w:eastAsia="hi-IN" w:bidi="hi-IN"/>
        </w:rPr>
      </w:r>
    </w:p>
    <w:tbl>
      <w:tblPr>
        <w:tblW w:w="9951" w:type="dxa"/>
        <w:jc w:val="left"/>
        <w:tblInd w:w="113" w:type="dxa"/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firstRow="1" w:noVBand="0" w:lastRow="1" w:firstColumn="1" w:lastColumn="1" w:noHBand="0" w:val="01e0"/>
      </w:tblPr>
      <w:tblGrid>
        <w:gridCol w:w="2292"/>
        <w:gridCol w:w="7658"/>
      </w:tblGrid>
      <w:tr>
        <w:trPr>
          <w:trHeight w:val="147" w:hRule="atLeast"/>
        </w:trPr>
        <w:tc>
          <w:tcPr>
            <w:tcW w:w="229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Ответственный исполнитель  подпрограммы 1</w:t>
            </w:r>
          </w:p>
        </w:tc>
        <w:tc>
          <w:tcPr>
            <w:tcW w:w="76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</w:tc>
      </w:tr>
      <w:tr>
        <w:trPr>
          <w:trHeight w:val="147" w:hRule="atLeast"/>
        </w:trPr>
        <w:tc>
          <w:tcPr>
            <w:tcW w:w="229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Участники подпрограммы 1</w:t>
            </w:r>
          </w:p>
        </w:tc>
        <w:tc>
          <w:tcPr>
            <w:tcW w:w="76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  <w:lang w:eastAsia="hi-IN" w:bidi="hi-IN"/>
              </w:rPr>
              <w:t>Управление образования Грязовецкого муниципального района</w:t>
            </w:r>
          </w:p>
        </w:tc>
      </w:tr>
      <w:tr>
        <w:trPr>
          <w:trHeight w:val="147" w:hRule="atLeast"/>
        </w:trPr>
        <w:tc>
          <w:tcPr>
            <w:tcW w:w="229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Цель  подпрограммы 1</w:t>
            </w:r>
          </w:p>
        </w:tc>
        <w:tc>
          <w:tcPr>
            <w:tcW w:w="76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создание условий для развития физической культуры и массового спорта на территории Грязовецкого муниципального района</w:t>
            </w:r>
            <w:r>
              <w:rPr>
                <w:rFonts w:ascii="Bookman Old Style" w:hAnsi="Bookman Old Style"/>
                <w:sz w:val="24"/>
                <w:szCs w:val="24"/>
              </w:rPr>
              <w:t>, популяризация здорового образа жизни</w:t>
            </w:r>
          </w:p>
        </w:tc>
      </w:tr>
      <w:tr>
        <w:trPr>
          <w:trHeight w:val="147" w:hRule="atLeast"/>
        </w:trPr>
        <w:tc>
          <w:tcPr>
            <w:tcW w:w="229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Задачи подпрограммы 1</w:t>
            </w:r>
          </w:p>
        </w:tc>
        <w:tc>
          <w:tcPr>
            <w:tcW w:w="76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увеличение уровня вовлеченности населения в систематические  занятия физической культурой  и спортом</w:t>
            </w:r>
            <w:r>
              <w:rPr>
                <w:rFonts w:ascii="Bookman Old Style" w:hAnsi="Bookman Old Style"/>
                <w:sz w:val="24"/>
                <w:szCs w:val="24"/>
              </w:rPr>
              <w:t>, в том числе посредством реализации Всероссийского физкультурно-спортивного комплекса «Готов к труду и обороне» (ГТО)</w:t>
            </w:r>
          </w:p>
        </w:tc>
      </w:tr>
      <w:tr>
        <w:trPr>
          <w:trHeight w:val="147" w:hRule="atLeast"/>
        </w:trPr>
        <w:tc>
          <w:tcPr>
            <w:tcW w:w="229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Целевые показатели (индикаторы) подпрограммы 1</w:t>
            </w:r>
          </w:p>
        </w:tc>
        <w:tc>
          <w:tcPr>
            <w:tcW w:w="76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численность детей и молодежи (возраст 3 - 29 лет), систематически занимающихся физической культурой и спортом в БУ «Центр ФКС»;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численность граждан среднего возраста (женщины: 30 - 54 года; мужчины: 30-59 лет), систематически занимающихся физической культурой и спортом в БУ «Центр ФКС»;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численность граждан старшего возраста (женщины: 55-79 лет; мужчины: 60-79 лет), систематически занимающихся физической культурой и спортом в БУ «Центр ФКС»;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доля лиц, выполнивших нормативы Всероссийского физкультурно-спортивного комплекса «Готов к труду и обороне» (ГТО), в общей численности населения района,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количество мероприятий по тестированию видов испытаний комплекса ГТО</w:t>
            </w:r>
          </w:p>
        </w:tc>
      </w:tr>
      <w:tr>
        <w:trPr>
          <w:trHeight w:val="147" w:hRule="atLeast"/>
        </w:trPr>
        <w:tc>
          <w:tcPr>
            <w:tcW w:w="229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Сроки реализации подпрограммы 1</w:t>
            </w:r>
          </w:p>
        </w:tc>
        <w:tc>
          <w:tcPr>
            <w:tcW w:w="76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2021-2025 годы</w:t>
            </w:r>
          </w:p>
        </w:tc>
      </w:tr>
      <w:tr>
        <w:trPr>
          <w:trHeight w:val="147" w:hRule="atLeast"/>
        </w:trPr>
        <w:tc>
          <w:tcPr>
            <w:tcW w:w="229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Объем бюджетных ассигнований подпрограммы 1</w:t>
            </w:r>
          </w:p>
        </w:tc>
        <w:tc>
          <w:tcPr>
            <w:tcW w:w="7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shd w:fill="auto" w:val="clear"/>
                <w:lang w:eastAsia="hi-IN" w:bidi="hi-IN"/>
              </w:rPr>
              <w:t xml:space="preserve">объем бюджетных ассигнований на реализацию подпрограммы 1 за счет бюджета района составляет   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hi-IN" w:bidi="hi-IN"/>
              </w:rPr>
              <w:t>17 494,3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  <w:shd w:fill="auto" w:val="clear"/>
                <w:lang w:eastAsia="hi-IN" w:bidi="hi-IN"/>
              </w:rPr>
              <w:t xml:space="preserve"> тыс. рублей, в том числе по годам реализации: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shd w:fill="auto" w:val="clear"/>
                <w:lang w:eastAsia="hi-IN" w:bidi="hi-IN"/>
              </w:rPr>
              <w:t xml:space="preserve">2021 год – 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hi-IN" w:bidi="hi-IN"/>
              </w:rPr>
              <w:t>2 864,4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  <w:shd w:fill="auto" w:val="clear"/>
                <w:lang w:eastAsia="hi-IN" w:bidi="hi-IN"/>
              </w:rPr>
              <w:t xml:space="preserve">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shd w:fill="auto" w:val="clear"/>
                <w:lang w:eastAsia="hi-IN" w:bidi="hi-IN"/>
              </w:rPr>
              <w:t xml:space="preserve">2022 год – 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hi-IN" w:bidi="hi-IN"/>
              </w:rPr>
              <w:t>7 118,3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  <w:shd w:fill="auto" w:val="clear"/>
                <w:lang w:eastAsia="hi-IN" w:bidi="hi-IN"/>
              </w:rPr>
              <w:t xml:space="preserve">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shd w:fill="auto" w:val="clear"/>
                <w:lang w:eastAsia="hi-IN" w:bidi="hi-IN"/>
              </w:rPr>
              <w:t>2023 год – 2 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hi-IN" w:bidi="hi-IN"/>
              </w:rPr>
              <w:t>864,2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  <w:shd w:fill="auto" w:val="clear"/>
                <w:lang w:eastAsia="hi-IN" w:bidi="hi-IN"/>
              </w:rPr>
              <w:t xml:space="preserve">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shd w:fill="auto" w:val="clear"/>
                <w:lang w:eastAsia="hi-IN" w:bidi="hi-IN"/>
              </w:rPr>
              <w:t xml:space="preserve">2024 год – 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hi-IN" w:bidi="hi-IN"/>
              </w:rPr>
              <w:t>2 864,2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  <w:shd w:fill="auto" w:val="clear"/>
                <w:lang w:eastAsia="hi-IN" w:bidi="hi-IN"/>
              </w:rPr>
              <w:t xml:space="preserve">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shd w:fill="auto" w:val="clear"/>
                <w:lang w:eastAsia="hi-IN" w:bidi="hi-IN"/>
              </w:rPr>
              <w:t>2025 год – 1 783,2  тыс. рублей</w:t>
            </w:r>
          </w:p>
        </w:tc>
      </w:tr>
      <w:tr>
        <w:trPr>
          <w:trHeight w:val="147" w:hRule="atLeast"/>
        </w:trPr>
        <w:tc>
          <w:tcPr>
            <w:tcW w:w="229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Ожидаемые результаты реализации подпрограммы 1</w:t>
            </w:r>
          </w:p>
        </w:tc>
        <w:tc>
          <w:tcPr>
            <w:tcW w:w="76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увеличение численности детей и молодежи (возраст 3 - 29 лет), систематически занимающихся физической культурой и спортом в БУ «Центр ФКС», до 3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750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человек  в 2025 году;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увеличение численности граждан среднего возраста (женщины: 30 - 54 года; мужчины: 30-59 лет), систематически занимающихся физической культурой и спортом в БУ «Центр ФКС», до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3850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человек в 2025 году;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увеличение численности граждан старшего возраста (женщины: 55-79 лет; мужчины: 60-79 лет), систематически занимающихся физической культурой и спортом в БУ «Центр ФКС», до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1010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человек в 2025 году;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увеличение доли лиц, выполнивших нормативы Всероссийского физкультурно-спортивного комплекса «Готов к труду и обороне» (ГТО), в общей численности населения района, принявшего участие в сдаче нормативов Всероссийского физкультурно-спортивного комплекса «Готов к труду и обороне» (ГТО), </w:t>
            </w:r>
            <w:r>
              <w:rPr>
                <w:rFonts w:cs="Bookman Old Style" w:ascii="Bookman Old Style" w:hAnsi="Bookman Old Style"/>
                <w:kern w:val="2"/>
                <w:sz w:val="24"/>
                <w:szCs w:val="24"/>
                <w:shd w:fill="auto" w:val="clear"/>
                <w:lang w:eastAsia="hi-IN" w:bidi="hi-IN"/>
              </w:rPr>
              <w:t xml:space="preserve">с 53,3% в 2019 году до 54,0 % 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в 2025 году;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shd w:fill="auto" w:val="clear"/>
                <w:lang w:eastAsia="hi-IN" w:bidi="hi-IN"/>
              </w:rPr>
              <w:t>увеличение количества мероприятий по тестированию видов испытаний комплекса ГТО с 10 мероприятий в 2019 году до 14 мероприятий в 2025 году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Lucida Sans Unicod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ascii="Bookman Old Style" w:hAnsi="Bookman Old Style"/>
          <w:b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eastAsia="Lucida Sans Unicode" w:cs="Bookman Old Style" w:ascii="Bookman Old Style" w:hAnsi="Bookman Old Style"/>
          <w:b/>
          <w:color w:val="000000"/>
          <w:kern w:val="2"/>
          <w:sz w:val="24"/>
          <w:szCs w:val="24"/>
          <w:lang w:val="en-US" w:eastAsia="hi-IN" w:bidi="hi-IN"/>
        </w:rPr>
        <w:t>I</w:t>
      </w:r>
      <w:r>
        <w:rPr>
          <w:rFonts w:eastAsia="Lucida Sans Unicode" w:cs="Bookman Old Style" w:ascii="Bookman Old Style" w:hAnsi="Bookman Old Style"/>
          <w:b/>
          <w:color w:val="000000"/>
          <w:kern w:val="2"/>
          <w:sz w:val="24"/>
          <w:szCs w:val="24"/>
          <w:lang w:eastAsia="hi-IN" w:bidi="hi-IN"/>
        </w:rPr>
        <w:t xml:space="preserve">. Характеристика сферы реализации подпрограммы 1, </w:t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eastAsia="Lucida Sans Unicode" w:cs="Bookman Old Style" w:ascii="Bookman Old Style" w:hAnsi="Bookman Old Style"/>
          <w:b/>
          <w:color w:val="000000"/>
          <w:kern w:val="2"/>
          <w:sz w:val="24"/>
          <w:szCs w:val="24"/>
          <w:lang w:eastAsia="hi-IN" w:bidi="hi-IN"/>
        </w:rPr>
        <w:t>описание основных проблем в указанной сфере и перспективы ее развития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eastAsia="Lucida Sans Unicode" w:cs="Bookman Old Style" w:ascii="Bookman Old Style" w:hAnsi="Bookman Old Style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 xml:space="preserve">Успешное развитие физической культуры и массового спорта имеет приоритетное значение для укрепления здоровья граждан района и повышения качества их жизни и, в связи с этим, является одним из ключевых факторов, обеспечивающих устойчивое социально-экономическое развитие района.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eastAsia="Times New Roman" w:cs="Bookman Old Style"/>
          <w:color w:val="000000"/>
          <w:kern w:val="2"/>
          <w:sz w:val="24"/>
          <w:szCs w:val="24"/>
          <w:lang w:eastAsia="ru-RU" w:bidi="hi-IN"/>
        </w:rPr>
      </w:pPr>
      <w:r>
        <w:rPr>
          <w:rFonts w:eastAsia="Times New Roman" w:cs="Bookman Old Style" w:ascii="Bookman Old Style" w:hAnsi="Bookman Old Style"/>
          <w:color w:val="000000"/>
          <w:kern w:val="2"/>
          <w:sz w:val="24"/>
          <w:szCs w:val="24"/>
          <w:lang w:eastAsia="ru-RU" w:bidi="hi-IN"/>
        </w:rPr>
        <w:t xml:space="preserve">В 2019 году численность населения в возрасте от 3 до 79 лет, систематически занимающихся физической культурой и спортом, в БУ «Центр ФКС» составила 7787 человек. </w:t>
      </w:r>
    </w:p>
    <w:p>
      <w:pPr>
        <w:pStyle w:val="Normal"/>
        <w:widowControl w:val="false"/>
        <w:spacing w:lineRule="auto" w:line="240" w:before="0" w:after="0"/>
        <w:jc w:val="both"/>
        <w:rPr>
          <w:highlight w:val="yellow"/>
        </w:rPr>
      </w:pPr>
      <w:r>
        <w:rPr>
          <w:rFonts w:eastAsia="Times New Roman" w:cs="Bookman Old Style" w:ascii="Bookman Old Style" w:hAnsi="Bookman Old Style"/>
          <w:color w:val="000000"/>
          <w:kern w:val="2"/>
          <w:sz w:val="24"/>
          <w:szCs w:val="24"/>
          <w:lang w:eastAsia="ru-RU" w:bidi="hi-IN"/>
        </w:rPr>
        <w:tab/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 xml:space="preserve">В 2019 году </w:t>
      </w:r>
      <w:r>
        <w:rPr>
          <w:rFonts w:ascii="Bookman Old Style" w:hAnsi="Bookman Old Style"/>
          <w:sz w:val="24"/>
          <w:szCs w:val="24"/>
        </w:rPr>
        <w:t xml:space="preserve">БУ «Центр ФКС» 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 xml:space="preserve"> проведено 257 спортивных мероприятий  в   муниципальных образованиях района, в которых приняли участие</w:t>
      </w:r>
      <w:r>
        <w:rPr>
          <w:rFonts w:eastAsia="Times New Roman" w:cs="Bookman Old Style" w:ascii="Bookman Old Style" w:hAnsi="Bookman Old Style"/>
          <w:color w:val="000000"/>
          <w:kern w:val="2"/>
          <w:sz w:val="24"/>
          <w:szCs w:val="24"/>
          <w:lang w:eastAsia="ru-RU" w:bidi="hi-IN"/>
        </w:rPr>
        <w:t xml:space="preserve"> свыше 7000 человек.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eastAsia="Times New Roman" w:cs="Bookman Old Style" w:ascii="Bookman Old Style" w:hAnsi="Bookman Old Style"/>
          <w:color w:val="000000"/>
          <w:kern w:val="2"/>
          <w:sz w:val="24"/>
          <w:szCs w:val="24"/>
          <w:lang w:eastAsia="ru-RU" w:bidi="hi-IN"/>
        </w:rPr>
        <w:tab/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 xml:space="preserve">Спортсмены Грязовецкого района в 2019 году участвовали в 57 областных и межрегиональных соревнованиях, 26 из которых проведено на спортсооружениях БУ «Центр ФКС».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eastAsia="Bookman Old Style" w:cs="Bookman Old Style" w:ascii="Bookman Old Style" w:hAnsi="Bookman Old Style"/>
          <w:kern w:val="2"/>
          <w:sz w:val="24"/>
          <w:szCs w:val="24"/>
          <w:lang w:eastAsia="ru-RU" w:bidi="hi-IN"/>
        </w:rPr>
        <w:t xml:space="preserve">        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 xml:space="preserve">В БУ «Центр ФКС» ежегодно функционирует летний оздоровительный лагерь с дневным пребыванием детей. В 2019 году спортивно-оздоровительный лагерь «Олимпийский» </w:t>
      </w:r>
      <w:r>
        <w:rPr>
          <w:rFonts w:eastAsia="Times New Roman" w:cs="Bookman Old Style" w:ascii="Bookman Old Style" w:hAnsi="Bookman Old Style"/>
          <w:color w:val="FF0000"/>
          <w:kern w:val="2"/>
          <w:sz w:val="24"/>
          <w:szCs w:val="24"/>
          <w:lang w:eastAsia="ru-RU" w:bidi="hi-IN"/>
        </w:rPr>
        <w:t xml:space="preserve"> 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 xml:space="preserve">посетило 54 несовершеннолетних от 6 до 18 лет.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ru-RU" w:bidi="hi-IN"/>
        </w:rPr>
      </w:pPr>
      <w:r>
        <w:rPr>
          <w:rFonts w:eastAsia="Times New Roman" w:cs="Bookman Old Style" w:ascii="Bookman Old Style" w:hAnsi="Bookman Old Style"/>
          <w:color w:val="000000"/>
          <w:kern w:val="2"/>
          <w:sz w:val="24"/>
          <w:szCs w:val="24"/>
          <w:lang w:eastAsia="ru-RU" w:bidi="hi-IN"/>
        </w:rPr>
        <w:t xml:space="preserve">Решение проблемных вопросов, связанных с повышением мотивации жителей 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 xml:space="preserve">Грязовецкого муниципального района к систематическим занятиям спортом, ведению здорового образа жизни, доступности спортивной инфраструктуры не теряет своей актуальности.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ru-RU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ab/>
        <w:t>Важную роль в развитии физической культуры и массового спорта играют учреждения образования. Согласно действующему законодательству образовательные учреждения с учетом местных условий и интересов обучающихся самостоятельно определяют формы занятий физической культурой, средства физического воспитания, виды спорта и двигательной активности, методы и продолжительность занятий физической культурой на основе государственных образовательных стандартов и нормативов физической подготовленности.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kern w:val="2"/>
          <w:sz w:val="24"/>
          <w:szCs w:val="24"/>
          <w:lang w:eastAsia="hi-IN" w:bidi="hi-IN"/>
        </w:rPr>
        <w:t>Увеличение числа проводимых мероприятий</w:t>
      </w:r>
      <w:r>
        <w:rPr>
          <w:rFonts w:ascii="Bookman Old Style" w:hAnsi="Bookman Old Style"/>
          <w:sz w:val="24"/>
          <w:szCs w:val="24"/>
        </w:rPr>
        <w:t xml:space="preserve"> Всероссийского физкультурно-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спортивного комплекса «Готов к труду и обороне» (ГТО), </w:t>
      </w:r>
      <w:r>
        <w:rPr>
          <w:rFonts w:eastAsia="Times New Roman" w:cs="Bookman Old Style" w:ascii="Bookman Old Style" w:hAnsi="Bookman Old Style"/>
          <w:color w:val="000000" w:themeColor="text1"/>
          <w:kern w:val="2"/>
          <w:sz w:val="24"/>
          <w:szCs w:val="24"/>
          <w:lang w:eastAsia="ru-RU" w:bidi="hi-IN"/>
        </w:rPr>
        <w:t xml:space="preserve"> позволит повысить эффективность использования возможностей физической культуры и спорта в укреплении здоровья, гармоничном и всестороннем развитии личности, воспитании патриотизма.  </w:t>
      </w:r>
      <w:r>
        <w:rPr>
          <w:rFonts w:eastAsia="Times New Roman" w:ascii="Bookman Old Style" w:hAnsi="Bookman Old Style"/>
          <w:sz w:val="24"/>
          <w:szCs w:val="24"/>
          <w:lang w:eastAsia="ru-RU"/>
        </w:rPr>
        <w:t>Полномочиями муниципального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наделен БУ «Центр ФКС». За 2019 год испытания комплекса ГТО прошли 660 человек, из них успешно сдали нормативы и получили знаки отличия 352 человека. При реализации комплекса мероприятий подпрограммы 1 планируется увеличение числа граждан успешно сдавших нормативы ГТО в соответствии с возрастными ступенями.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ab/>
        <w:t xml:space="preserve">В целом, учитывая сложившуюся ситуацию, в подпрограмме 1 запланирован комплекс мер по повышению эффективности пропаганды физической культуры и спорта, развитию детско-юношеского спорта.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 w:eastAsia="Lucida Sans Unicode" w:cs="Bookman Old Style"/>
          <w:color w:val="000000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ab/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 w:eastAsia="Lucida Sans Unicode" w:cs="Bookman Old Style"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Times New Roman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val="en-US" w:eastAsia="hi-IN" w:bidi="hi-IN"/>
        </w:rPr>
        <w:t>I</w:t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 xml:space="preserve">I.   Приоритеты в сфере реализации подпрограммы1,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>цель, задачи, сроки реализации подпрограммы 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Основным приоритетом в сфере реализации подпрограммы 1 является повышение мотивации к регулярным занятиям физической культурой и спортом у всех возрастных категорий населения.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 xml:space="preserve">Целью подпрограммы 1 является </w:t>
      </w:r>
      <w:r>
        <w:rPr>
          <w:rFonts w:eastAsia="Times New Roman" w:ascii="Bookman Old Style" w:hAnsi="Bookman Old Style"/>
          <w:kern w:val="2"/>
          <w:sz w:val="24"/>
          <w:szCs w:val="24"/>
          <w:lang w:eastAsia="hi-IN" w:bidi="hi-IN"/>
        </w:rPr>
        <w:t>создание условий для развития физической культуры и массового спорта на территории Грязовецкого муниципального района</w:t>
      </w:r>
      <w:r>
        <w:rPr>
          <w:rFonts w:ascii="Bookman Old Style" w:hAnsi="Bookman Old Style"/>
          <w:sz w:val="24"/>
          <w:szCs w:val="24"/>
        </w:rPr>
        <w:t>, популяризация здорового образа жизни.</w:t>
      </w: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ab/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Для достижения указанной цели необходимо решение следующей задачи: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eastAsia="Times New Roman" w:ascii="Bookman Old Style" w:hAnsi="Bookman Old Style"/>
          <w:kern w:val="2"/>
          <w:sz w:val="24"/>
          <w:szCs w:val="24"/>
          <w:lang w:eastAsia="hi-IN" w:bidi="hi-IN"/>
        </w:rPr>
        <w:t>- увеличение уровня вовлеченности населения в систематические  занятия физической культурой  и спортом</w:t>
      </w:r>
      <w:r>
        <w:rPr>
          <w:rFonts w:ascii="Bookman Old Style" w:hAnsi="Bookman Old Style"/>
          <w:sz w:val="24"/>
          <w:szCs w:val="24"/>
        </w:rPr>
        <w:t>, в том числе посредством реализации Всероссийского физкультурно-спортивного комплекса «Готов к труду и обороне» (ГТО).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Решение поставленной задачи будет обеспечено путем эффективного взаимодействия органов местного самоуправления, общественных объединений и организаций физкультурно-спортивной направленности.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 w:eastAsia="Lucida Sans Unicode" w:cs="Bookman Old Style"/>
          <w:color w:val="000000"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ab/>
        <w:t>Сроки реализации подпрограммы 1: 2021-2025 годы.</w:t>
      </w:r>
    </w:p>
    <w:p>
      <w:pPr>
        <w:pStyle w:val="Normal"/>
        <w:widowControl w:val="false"/>
        <w:spacing w:lineRule="auto" w:line="240" w:before="0" w:after="0"/>
        <w:rPr>
          <w:rFonts w:ascii="Bookman Old Style" w:hAnsi="Bookman Old Style" w:eastAsia="Lucida Sans Unicode" w:cs="Bookman Old Style"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val="en-US" w:eastAsia="hi-IN" w:bidi="hi-IN"/>
        </w:rPr>
        <w:t>III</w:t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>. Характеристика основных мероприятий подпрограммы 1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  <w:t>Для достижения цели и решения задачи подпрограммы 1 предусматривается реализация основных мероприятий.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eastAsia="Times New Roman" w:cs="Bookman Old Style" w:ascii="Bookman Old Style" w:hAnsi="Bookman Old Style"/>
          <w:i/>
          <w:kern w:val="2"/>
          <w:sz w:val="24"/>
          <w:szCs w:val="24"/>
          <w:lang w:eastAsia="hi-IN" w:bidi="hi-IN"/>
        </w:rPr>
        <w:tab/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1. Основное мероприятие 1.1 «Физическое воспитание и обеспечение организации и проведения физкультурных мероприятий и массовых спортивных мероприятий»  (далее - основное мероприятие 1.1).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  <w:t xml:space="preserve">Цель основного мероприятия 1.1 – совершенствование физического воспитания жителей района и системы проведения физкультурных и спортивных мероприятий.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  <w:t>В рамках осуществления основного мероприятия 1.1 предусматривается выделение субсидии на выполнение муниципального задания на организацию и проведение официальных физкультурных (физкультурно-оздоровительных) мероприятий, в том числе: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- проведение районных спартакиад среди: школьников, сельских поселений, ветеранов спорта, работников образования, граждан пенсионного возраста, трудовых коллективов района;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- организацию и проведение турниров, первенств и кубков района.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2. Основное мероприятие 1.2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 (далее - основное мероприятие 1.2).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Цель основного мероприятия 1.2 – формирование здорового образа жизни граждан, их гармоничного и всестороннего развития.</w:t>
      </w:r>
    </w:p>
    <w:p>
      <w:pPr>
        <w:pStyle w:val="Normal"/>
        <w:widowControl w:val="false"/>
        <w:spacing w:lineRule="auto" w:line="240" w:before="0" w:after="0"/>
        <w:jc w:val="both"/>
        <w:rPr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ab/>
        <w:t>В рамках осуществления основного мероприятия 1.2 предусматривается выделение субсидии на выполнение муниципального задания на:</w:t>
      </w:r>
    </w:p>
    <w:p>
      <w:pPr>
        <w:pStyle w:val="Normal"/>
        <w:widowControl w:val="false"/>
        <w:spacing w:lineRule="auto" w:line="240" w:before="0" w:after="0"/>
        <w:ind w:left="426" w:firstLine="709"/>
        <w:jc w:val="both"/>
        <w:rPr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 xml:space="preserve">- проведение мероприятий по внедрению и популяризации Всероссийского физкультурно-спортивного комплекса «Готов к труду и обороне» (ГТО); </w:t>
      </w:r>
    </w:p>
    <w:p>
      <w:pPr>
        <w:pStyle w:val="Normal"/>
        <w:widowControl w:val="false"/>
        <w:spacing w:lineRule="auto" w:line="240" w:before="0" w:after="0"/>
        <w:ind w:left="426" w:firstLine="709"/>
        <w:jc w:val="both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- проведение тестирования по выполнению видов испытаний (тестов)  Всероссийского физкультурно-спортивного комплекса «Готов к труду и обороне».</w:t>
      </w:r>
    </w:p>
    <w:p>
      <w:pPr>
        <w:pStyle w:val="Normal"/>
        <w:widowControl w:val="false"/>
        <w:spacing w:lineRule="auto" w:line="240" w:before="120" w:after="0"/>
        <w:ind w:firstLine="709"/>
        <w:jc w:val="both"/>
        <w:rPr>
          <w:rFonts w:ascii="Bookman Old Style" w:hAnsi="Bookman Old Style" w:cs="Bookman Old Style"/>
        </w:rPr>
      </w:pPr>
      <w:r>
        <w:rPr>
          <w:rFonts w:eastAsia="Times New Roman" w:cs="Bookman Old Style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3. Основное мероприятие 1.3. </w:t>
      </w:r>
      <w:r>
        <w:rPr>
          <w:rStyle w:val="11"/>
          <w:rFonts w:eastAsia="Bookman Old Style"/>
          <w:color w:val="000000"/>
          <w:kern w:val="2"/>
          <w:sz w:val="24"/>
          <w:szCs w:val="24"/>
          <w:shd w:fill="FFFFFF" w:val="clear"/>
          <w:lang w:eastAsia="ru-RU" w:bidi="hi-IN"/>
        </w:rPr>
        <w:t>«Проведение кадастровых работ по строительству второй очереди физкультурно-оздоровительного комплекса с бассейном в г. Грязовце (1 этап) (далее — основное мероприятие 1.3).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Цель основного мероприятия 1.3: осуществление функционирования спортивных объектов.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>
        <w:rPr>
          <w:rStyle w:val="11"/>
          <w:rFonts w:eastAsia="Bookman Old Style" w:cs="Bookman Old Style" w:ascii="Bookman Old Style" w:hAnsi="Bookman Old Style"/>
          <w:color w:val="000000"/>
          <w:kern w:val="2"/>
          <w:sz w:val="24"/>
          <w:szCs w:val="24"/>
          <w:shd w:fill="FFFFFF" w:val="clear"/>
          <w:lang w:eastAsia="ru-RU" w:bidi="hi-IN"/>
        </w:rPr>
        <w:t>В рамках основного мероприятия 1.3 предусматривается выделение субсидии на иные цели для проведения кадастровых работ по строительству</w:t>
      </w:r>
      <w:r>
        <w:rPr>
          <w:rStyle w:val="11"/>
          <w:rFonts w:eastAsia="Bookman Old Style"/>
          <w:b/>
          <w:bCs/>
          <w:color w:val="000000"/>
          <w:kern w:val="2"/>
          <w:sz w:val="24"/>
          <w:szCs w:val="24"/>
          <w:shd w:fill="FFFFFF" w:val="clear"/>
          <w:lang w:eastAsia="ru-RU" w:bidi="hi-IN"/>
        </w:rPr>
        <w:t xml:space="preserve"> </w:t>
      </w:r>
      <w:r>
        <w:rPr>
          <w:rStyle w:val="11"/>
          <w:rFonts w:eastAsia="Bookman Old Style"/>
          <w:color w:val="000000"/>
          <w:kern w:val="2"/>
          <w:sz w:val="24"/>
          <w:szCs w:val="24"/>
          <w:shd w:fill="FFFFFF" w:val="clear"/>
          <w:lang w:eastAsia="ru-RU" w:bidi="hi-IN"/>
        </w:rPr>
        <w:t>второй очереди физкультурно-оздоровительного комплекса с бассейном в г. Грязовце (1 этап).</w:t>
      </w:r>
    </w:p>
    <w:p>
      <w:pPr>
        <w:pStyle w:val="Normal"/>
        <w:widowControl w:val="false"/>
        <w:suppressAutoHyphens w:val="true"/>
        <w:spacing w:lineRule="auto" w:line="240" w:before="12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eastAsia="hi-IN" w:bidi="hi-IN"/>
        </w:rPr>
        <w:t>4. Основное мероприятие 1.4 «Расходы на строительство второй очереди физкультурно-оздоровительного комплекса с бассейном в г. Грязовце»</w:t>
      </w:r>
      <w:r>
        <w:rPr>
          <w:rStyle w:val="11"/>
          <w:rFonts w:eastAsia="Bookman Old Style"/>
          <w:b w:val="false"/>
          <w:bCs w:val="false"/>
          <w:color w:val="000000"/>
          <w:kern w:val="2"/>
          <w:sz w:val="24"/>
          <w:szCs w:val="24"/>
          <w:shd w:fill="FFFFFF" w:val="clear"/>
          <w:lang w:eastAsia="ru-RU" w:bidi="hi-IN"/>
        </w:rPr>
        <w:t xml:space="preserve"> (далее — основное мероприятие 1.</w:t>
      </w:r>
      <w:r>
        <w:rPr>
          <w:rStyle w:val="11"/>
          <w:rFonts w:eastAsia="Bookman Old Styl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shd w:fill="FFFFFF" w:val="clear"/>
          <w:lang w:val="ru-RU" w:eastAsia="ru-RU" w:bidi="hi-IN"/>
        </w:rPr>
        <w:t>4</w:t>
      </w:r>
      <w:r>
        <w:rPr>
          <w:rStyle w:val="11"/>
          <w:rFonts w:eastAsia="Bookman Old Style"/>
          <w:b w:val="false"/>
          <w:bCs w:val="false"/>
          <w:color w:val="000000"/>
          <w:kern w:val="2"/>
          <w:sz w:val="24"/>
          <w:szCs w:val="24"/>
          <w:shd w:fill="FFFFFF" w:val="clear"/>
          <w:lang w:eastAsia="ru-RU" w:bidi="hi-IN"/>
        </w:rPr>
        <w:t>).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Цель основного мероприятия 1.4: осуществление функционирования спортивных объектов.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/>
      </w:pPr>
      <w:r>
        <w:rPr>
          <w:rStyle w:val="11"/>
          <w:rFonts w:eastAsia="Bookman Old Style" w:cs="Bookman Old Style" w:ascii="Bookman Old Style" w:hAnsi="Bookman Old Style"/>
          <w:b w:val="false"/>
          <w:bCs w:val="false"/>
          <w:color w:val="000000"/>
          <w:kern w:val="2"/>
          <w:sz w:val="24"/>
          <w:szCs w:val="24"/>
          <w:shd w:fill="FFFFFF" w:val="clear"/>
          <w:lang w:eastAsia="ru-RU" w:bidi="hi-IN"/>
        </w:rPr>
        <w:t>В рамках основного мероприятия 1.4 предусматривается выделение субсидии на иные цели:</w:t>
      </w:r>
      <w:r>
        <w:rPr>
          <w:rStyle w:val="11"/>
          <w:rFonts w:eastAsia="Bookman Old Style" w:cs="Bookman Old Style" w:ascii="Bookman Old Style" w:hAnsi="Bookman Old Style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shd w:fill="FFFFFF" w:val="clear"/>
          <w:lang w:val="ru-RU" w:eastAsia="ru-RU" w:bidi="hi-IN"/>
        </w:rPr>
        <w:t xml:space="preserve"> расходы на</w:t>
      </w:r>
      <w:r>
        <w:rPr>
          <w:rStyle w:val="11"/>
          <w:rFonts w:eastAsia="Bookman Old Style" w:cs="Bookman Old Style" w:ascii="Bookman Old Style" w:hAnsi="Bookman Old Style"/>
          <w:b w:val="false"/>
          <w:bCs w:val="false"/>
          <w:color w:val="000000"/>
          <w:kern w:val="2"/>
          <w:sz w:val="24"/>
          <w:szCs w:val="24"/>
          <w:shd w:fill="FFFFFF" w:val="clear"/>
          <w:lang w:eastAsia="ru-RU" w:bidi="hi-IN"/>
        </w:rPr>
        <w:t xml:space="preserve"> строительство</w:t>
      </w:r>
      <w:r>
        <w:rPr>
          <w:rStyle w:val="11"/>
          <w:rFonts w:eastAsia="Bookman Old Style"/>
          <w:b/>
          <w:bCs/>
          <w:color w:val="000000"/>
          <w:kern w:val="2"/>
          <w:sz w:val="24"/>
          <w:szCs w:val="24"/>
          <w:shd w:fill="FFFFFF" w:val="clear"/>
          <w:lang w:eastAsia="ru-RU" w:bidi="hi-IN"/>
        </w:rPr>
        <w:t xml:space="preserve"> </w:t>
      </w:r>
      <w:r>
        <w:rPr>
          <w:rStyle w:val="11"/>
          <w:rFonts w:eastAsia="Bookman Old Style"/>
          <w:b w:val="false"/>
          <w:bCs w:val="false"/>
          <w:color w:val="000000"/>
          <w:kern w:val="2"/>
          <w:sz w:val="24"/>
          <w:szCs w:val="24"/>
          <w:shd w:fill="FFFFFF" w:val="clear"/>
          <w:lang w:eastAsia="ru-RU" w:bidi="hi-IN"/>
        </w:rPr>
        <w:t>второй очереди физкультурно-оздоровительного комплекса с бассейном в г. Грязовце.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/>
      </w:pPr>
      <w:r>
        <w:rPr>
          <w:rStyle w:val="11"/>
          <w:rFonts w:eastAsia="Bookman Old Style"/>
          <w:b w:val="false"/>
          <w:bCs w:val="false"/>
          <w:color w:val="000000"/>
          <w:kern w:val="2"/>
          <w:sz w:val="24"/>
          <w:szCs w:val="24"/>
          <w:shd w:fill="FFFFFF" w:val="clear"/>
          <w:lang w:eastAsia="ru-RU" w:bidi="hi-IN"/>
        </w:rPr>
        <w:t xml:space="preserve">5.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eastAsia="hi-IN" w:bidi="hi-IN"/>
        </w:rPr>
        <w:t>Основное мероприятие 1.5 «Строительство физкультурно-оздоровительного комплекса открытого типа, расположенного по адресу: г.Грязовец, ул.Ленина, д.101»</w:t>
      </w:r>
      <w:r>
        <w:rPr>
          <w:rStyle w:val="11"/>
          <w:rFonts w:eastAsia="Bookman Old Style"/>
          <w:b w:val="false"/>
          <w:bCs w:val="false"/>
          <w:color w:val="000000"/>
          <w:kern w:val="2"/>
          <w:sz w:val="24"/>
          <w:szCs w:val="24"/>
          <w:shd w:fill="FFFFFF" w:val="clear"/>
          <w:lang w:eastAsia="ru-RU" w:bidi="hi-IN"/>
        </w:rPr>
        <w:t xml:space="preserve"> (далее — основное мероприятие 1.5).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Цель основного мероприятия 1.5: осуществление функционирования спортивных объектов.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>
        <w:rPr>
          <w:rStyle w:val="11"/>
          <w:rFonts w:eastAsia="Bookman Old Style" w:cs="Bookman Old Style" w:ascii="Bookman Old Style" w:hAnsi="Bookman Old Style"/>
          <w:b w:val="false"/>
          <w:bCs w:val="false"/>
          <w:color w:val="000000"/>
          <w:kern w:val="2"/>
          <w:sz w:val="24"/>
          <w:szCs w:val="24"/>
          <w:shd w:fill="FFFFFF" w:val="clear"/>
          <w:lang w:eastAsia="ru-RU" w:bidi="hi-IN"/>
        </w:rPr>
        <w:t xml:space="preserve">В рамках основного мероприятия 1.5 предусматривается выделение субсидии на </w:t>
      </w:r>
      <w:r>
        <w:rPr>
          <w:rStyle w:val="11"/>
          <w:rFonts w:eastAsia="Bookman Old Style" w:cs="Bookman Old Style" w:ascii="Bookman Old Style" w:hAnsi="Bookman Old Style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shd w:fill="FFFFFF" w:val="clear"/>
          <w:lang w:val="ru-RU" w:eastAsia="ru-RU" w:bidi="hi-IN"/>
        </w:rPr>
        <w:t>бюджетные инвестиции на строительство</w:t>
      </w:r>
      <w:r>
        <w:rPr>
          <w:rStyle w:val="11"/>
          <w:rFonts w:eastAsia="Bookman Old Style" w:cs="Bookman Old Style" w:ascii="Bookman Old Style" w:hAnsi="Bookman Old Style"/>
          <w:b w:val="false"/>
          <w:bCs w:val="false"/>
          <w:color w:val="000000"/>
          <w:kern w:val="2"/>
          <w:sz w:val="24"/>
          <w:szCs w:val="24"/>
          <w:shd w:fill="FFFFFF" w:val="clear"/>
          <w:lang w:eastAsia="ru-RU" w:bidi="hi-IN"/>
        </w:rPr>
        <w:t xml:space="preserve">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shd w:fill="auto" w:val="clear"/>
          <w:lang w:val="ru-RU" w:eastAsia="hi-IN" w:bidi="hi-IN"/>
        </w:rPr>
        <w:t>ф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eastAsia="hi-IN" w:bidi="hi-IN"/>
        </w:rPr>
        <w:t>изкультурно-оздоровительн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shd w:fill="auto" w:val="clear"/>
          <w:lang w:val="ru-RU" w:eastAsia="hi-IN" w:bidi="hi-IN"/>
        </w:rPr>
        <w:t>ого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eastAsia="hi-IN" w:bidi="hi-IN"/>
        </w:rPr>
        <w:t xml:space="preserve"> комплекса открытого типа, расположенного по адресу: г.Грязовец, ул.Ленина, д.101.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eastAsia="hi-IN" w:bidi="hi-IN"/>
        </w:rPr>
        <w:t>Паспорт инвестиционного проекта «Строительство физкультурно-оздоровительного комплекса открытого типа, расположенного по адресу: г.Грязовец, ул.Ленина, д.101» приведен в приложении 6 к подпрограмме 1.</w:t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Bookman Old Style" w:hAnsi="Bookman Old Style" w:eastAsia="Times New Roman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b/>
          <w:b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val="en-US" w:eastAsia="hi-IN" w:bidi="hi-IN"/>
        </w:rPr>
        <w:t>IV</w:t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>. Финансовое обеспечение  реализации основных мероприятий подпрограммы 1 за счет средств бюджета района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kern w:val="2"/>
          <w:sz w:val="24"/>
          <w:szCs w:val="24"/>
          <w:shd w:fill="auto" w:val="clear"/>
          <w:lang w:eastAsia="hi-IN" w:bidi="hi-IN"/>
        </w:rPr>
        <w:t>Объем бюджетных ассигнований на реализацию  подпрограммы 1 за счет бюджета района состав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hi-IN" w:bidi="hi-IN"/>
        </w:rPr>
        <w:t>ляет</w:t>
      </w:r>
      <w:r>
        <w:rPr>
          <w:rFonts w:cs="Times New Roman" w:ascii="Times New Roman" w:hAnsi="Times New Roman"/>
          <w:kern w:val="2"/>
          <w:sz w:val="24"/>
          <w:szCs w:val="24"/>
          <w:shd w:fill="auto" w:val="clear"/>
          <w:lang w:eastAsia="hi-IN" w:bidi="hi-IN"/>
        </w:rPr>
        <w:t xml:space="preserve"> 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hi-IN" w:bidi="hi-IN"/>
        </w:rPr>
        <w:t>17 494,3</w:t>
      </w:r>
      <w:r>
        <w:rPr>
          <w:rFonts w:cs="Times New Roman" w:ascii="Times New Roman" w:hAnsi="Times New Roman"/>
          <w:kern w:val="2"/>
          <w:sz w:val="24"/>
          <w:szCs w:val="24"/>
          <w:shd w:fill="auto" w:val="clear"/>
          <w:lang w:eastAsia="hi-IN" w:bidi="hi-IN"/>
        </w:rPr>
        <w:t xml:space="preserve"> тыс. рублей, в том числе по годам реализации: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left"/>
        <w:rPr/>
      </w:pPr>
      <w:r>
        <w:rPr>
          <w:rFonts w:cs="Times New Roman" w:ascii="Times New Roman" w:hAnsi="Times New Roman"/>
          <w:kern w:val="2"/>
          <w:sz w:val="24"/>
          <w:szCs w:val="24"/>
          <w:shd w:fill="auto" w:val="clear"/>
          <w:lang w:eastAsia="hi-IN" w:bidi="hi-IN"/>
        </w:rPr>
        <w:t xml:space="preserve">2021 год –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hi-IN" w:bidi="hi-IN"/>
        </w:rPr>
        <w:t>2 864,4</w:t>
      </w:r>
      <w:r>
        <w:rPr>
          <w:rFonts w:cs="Times New Roman" w:ascii="Times New Roman" w:hAnsi="Times New Roman"/>
          <w:kern w:val="2"/>
          <w:sz w:val="24"/>
          <w:szCs w:val="24"/>
          <w:shd w:fill="auto" w:val="clear"/>
          <w:lang w:eastAsia="hi-IN" w:bidi="hi-IN"/>
        </w:rPr>
        <w:t xml:space="preserve"> тыс. рублей;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left"/>
        <w:rPr/>
      </w:pPr>
      <w:r>
        <w:rPr>
          <w:rFonts w:cs="Times New Roman" w:ascii="Times New Roman" w:hAnsi="Times New Roman"/>
          <w:kern w:val="2"/>
          <w:sz w:val="24"/>
          <w:szCs w:val="24"/>
          <w:shd w:fill="auto" w:val="clear"/>
          <w:lang w:eastAsia="hi-IN" w:bidi="hi-IN"/>
        </w:rPr>
        <w:t xml:space="preserve">2022 год –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hi-IN" w:bidi="hi-IN"/>
        </w:rPr>
        <w:t>7 118,3</w:t>
      </w:r>
      <w:r>
        <w:rPr>
          <w:rFonts w:cs="Times New Roman" w:ascii="Times New Roman" w:hAnsi="Times New Roman"/>
          <w:kern w:val="2"/>
          <w:sz w:val="24"/>
          <w:szCs w:val="24"/>
          <w:shd w:fill="auto" w:val="clear"/>
          <w:lang w:eastAsia="hi-IN" w:bidi="hi-IN"/>
        </w:rPr>
        <w:t xml:space="preserve"> тыс. рублей;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left"/>
        <w:rPr/>
      </w:pPr>
      <w:r>
        <w:rPr>
          <w:rFonts w:cs="Times New Roman" w:ascii="Times New Roman" w:hAnsi="Times New Roman"/>
          <w:kern w:val="2"/>
          <w:sz w:val="24"/>
          <w:szCs w:val="24"/>
          <w:shd w:fill="auto" w:val="clear"/>
          <w:lang w:eastAsia="hi-IN" w:bidi="hi-IN"/>
        </w:rPr>
        <w:t>2023 год – 2 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hi-IN" w:bidi="hi-IN"/>
        </w:rPr>
        <w:t>864,2</w:t>
      </w:r>
      <w:r>
        <w:rPr>
          <w:rFonts w:cs="Times New Roman" w:ascii="Times New Roman" w:hAnsi="Times New Roman"/>
          <w:kern w:val="2"/>
          <w:sz w:val="24"/>
          <w:szCs w:val="24"/>
          <w:shd w:fill="auto" w:val="clear"/>
          <w:lang w:eastAsia="hi-IN" w:bidi="hi-IN"/>
        </w:rPr>
        <w:t xml:space="preserve"> тыс. рублей;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left"/>
        <w:rPr/>
      </w:pPr>
      <w:r>
        <w:rPr>
          <w:rFonts w:cs="Times New Roman" w:ascii="Times New Roman" w:hAnsi="Times New Roman"/>
          <w:kern w:val="2"/>
          <w:sz w:val="24"/>
          <w:szCs w:val="24"/>
          <w:shd w:fill="auto" w:val="clear"/>
          <w:lang w:eastAsia="hi-IN" w:bidi="hi-IN"/>
        </w:rPr>
        <w:t xml:space="preserve">2024 год –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hi-IN" w:bidi="hi-IN"/>
        </w:rPr>
        <w:t>2 864,2</w:t>
      </w:r>
      <w:r>
        <w:rPr>
          <w:rFonts w:cs="Times New Roman" w:ascii="Times New Roman" w:hAnsi="Times New Roman"/>
          <w:kern w:val="2"/>
          <w:sz w:val="24"/>
          <w:szCs w:val="24"/>
          <w:shd w:fill="auto" w:val="clear"/>
          <w:lang w:eastAsia="hi-IN" w:bidi="hi-IN"/>
        </w:rPr>
        <w:t xml:space="preserve"> тыс. рублей;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kern w:val="2"/>
          <w:sz w:val="24"/>
          <w:szCs w:val="24"/>
          <w:shd w:fill="auto" w:val="clear"/>
          <w:lang w:eastAsia="hi-IN" w:bidi="hi-IN"/>
        </w:rPr>
      </w:pPr>
      <w:r>
        <w:rPr>
          <w:rFonts w:cs="Times New Roman" w:ascii="Times New Roman" w:hAnsi="Times New Roman"/>
          <w:kern w:val="2"/>
          <w:sz w:val="24"/>
          <w:szCs w:val="24"/>
          <w:shd w:fill="auto" w:val="clear"/>
          <w:lang w:eastAsia="hi-IN" w:bidi="hi-IN"/>
        </w:rPr>
        <w:t>2025 год – 1 783,2  тыс. рублей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ru-RU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/>
        </w:rPr>
        <w:t>Финансовое обеспечение и перечень мероприятий подпрограммы 1 приведены в приложении 1 к подпрограмме 1.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Прогнозная (справочная) оценка расходов федерального и областного бюджетов, бюд</w:t>
        <w:softHyphen/>
        <w:t>жетов муниципальных образований района, физических и юридических лиц на реализацию цели подпрограммы 1 приведена в приложении 2 к подпрограмме 1.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280" w:after="280"/>
        <w:ind w:firstLine="70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val="en-US" w:eastAsia="hi-IN" w:bidi="hi-IN"/>
        </w:rPr>
        <w:t>V</w:t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>. Показатели (индикаторы) достижения цели и решения задачи подпрограммы 1, прогноз конечных результатов реализации подпрограммы 1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cs="Bookman Old Style"/>
          <w:kern w:val="2"/>
          <w:sz w:val="24"/>
          <w:szCs w:val="24"/>
          <w:highlight w:val="yellow"/>
          <w:lang w:eastAsia="hi-IN" w:bidi="hi-IN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Сведения о показателях (индикаторах) подпрограммы 1 приведены в приложении 3 к  муниципальной программе.</w:t>
      </w:r>
      <w:r>
        <w:rPr>
          <w:rFonts w:cs="Bookman Old Style" w:ascii="Bookman Old Style" w:hAnsi="Bookman Old Style"/>
          <w:kern w:val="2"/>
          <w:sz w:val="24"/>
          <w:szCs w:val="24"/>
          <w:highlight w:val="yellow"/>
          <w:lang w:eastAsia="hi-IN" w:bidi="hi-IN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highlight w:val="yellow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Методика расчета значений показателей (индикаторов) подпрограммы 1 приведена в приложении 4 к подпрограмме 1.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Ожидаемые конечные результаты реализации подпрограммы 1 характеризуются улучшением количественных и качественных показателей в сфере физической культуры и массового спорта: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увеличение численности детей и молодежи (возраст 3 - 29 лет), систематически занимающихся физической культурой и спортом в БУ «Центр ФКС»,</w:t>
      </w:r>
      <w:r>
        <w:rPr>
          <w:rFonts w:cs="Bookman Old Style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до 3</w:t>
      </w:r>
      <w:r>
        <w:rPr>
          <w:rFonts w:eastAsia="Calibri" w:cs="Bookman Old Style" w:ascii="Times New Roman" w:hAnsi="Times New Roman"/>
          <w:color w:val="000000"/>
          <w:kern w:val="2"/>
          <w:sz w:val="24"/>
          <w:szCs w:val="24"/>
          <w:lang w:val="ru-RU" w:eastAsia="hi-IN" w:bidi="hi-IN"/>
        </w:rPr>
        <w:t>750</w:t>
      </w:r>
      <w:r>
        <w:rPr>
          <w:rFonts w:cs="Bookman Old Style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человек в 2025 году;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увеличение численности граждан среднего возраста (женщины: 30 - 54 года; мужчины: 30-59 лет), систематически занимающихся физической культурой и спортом в БУ «Центр ФКС»,</w:t>
      </w:r>
      <w:r>
        <w:rPr>
          <w:rFonts w:cs="Bookman Old Style" w:ascii="Times New Roman" w:hAnsi="Times New Roman"/>
          <w:color w:val="000000"/>
          <w:sz w:val="24"/>
          <w:szCs w:val="24"/>
        </w:rPr>
        <w:t xml:space="preserve"> до 38</w:t>
      </w:r>
      <w:r>
        <w:rPr>
          <w:rFonts w:eastAsia="Calibri" w:cs="Bookman Old Style" w:ascii="Times New Roman" w:hAnsi="Times New Roman"/>
          <w:color w:val="000000"/>
          <w:sz w:val="24"/>
          <w:szCs w:val="24"/>
        </w:rPr>
        <w:t>50</w:t>
      </w:r>
      <w:r>
        <w:rPr>
          <w:rFonts w:cs="Bookman Old Style" w:ascii="Times New Roman" w:hAnsi="Times New Roman"/>
          <w:color w:val="000000"/>
          <w:sz w:val="24"/>
          <w:szCs w:val="24"/>
        </w:rPr>
        <w:t xml:space="preserve"> человек в 2025 году;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увеличение численности граждан старшего возраста (женщины: 55-79 лет; мужчины: 60-79 лет), систематически занимающихся физической культурой и спортом в БУ «Центр ФКС»,</w:t>
      </w:r>
      <w:r>
        <w:rPr>
          <w:rFonts w:cs="Bookman Old Style" w:ascii="Times New Roman" w:hAnsi="Times New Roman"/>
          <w:color w:val="000000"/>
          <w:sz w:val="24"/>
          <w:szCs w:val="24"/>
        </w:rPr>
        <w:t xml:space="preserve"> до </w:t>
      </w:r>
      <w:r>
        <w:rPr>
          <w:rFonts w:eastAsia="Calibri" w:cs="Bookman Old Style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1010</w:t>
      </w:r>
      <w:r>
        <w:rPr>
          <w:rFonts w:cs="Bookman Old Style" w:ascii="Times New Roman" w:hAnsi="Times New Roman"/>
          <w:color w:val="000000"/>
          <w:sz w:val="24"/>
          <w:szCs w:val="24"/>
        </w:rPr>
        <w:t xml:space="preserve"> человек в 2025 году;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- увеличение д</w:t>
      </w:r>
      <w:r>
        <w:rPr>
          <w:rFonts w:cs="Bookman Old Style" w:ascii="Times New Roman" w:hAnsi="Times New Roman"/>
          <w:color w:val="000000"/>
          <w:kern w:val="2"/>
          <w:sz w:val="24"/>
          <w:szCs w:val="24"/>
          <w:lang w:eastAsia="hi-IN" w:bidi="hi-IN"/>
        </w:rPr>
        <w:t>оли</w:t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лиц, выполнивших нормативы Всероссийского физкультурно-спортивного комплекса «Готов к труду и обороне» (ГТО), в общей численности населения района, принявшего участие в сдаче нормативов Всероссийского физкультурно-спортивного комплекса «Готов к труду и обороне» (ГТО), </w:t>
      </w:r>
      <w:r>
        <w:rPr>
          <w:rFonts w:cs="Bookman Old Style" w:ascii="Bookman Old Style" w:hAnsi="Bookman Old Style"/>
          <w:color w:val="000000"/>
          <w:kern w:val="2"/>
          <w:sz w:val="24"/>
          <w:szCs w:val="24"/>
          <w:lang w:eastAsia="hi-IN" w:bidi="hi-IN"/>
        </w:rPr>
        <w:t xml:space="preserve">с 53,3% в 2019 году до 54,0 % </w:t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в 2025 году;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kern w:val="2"/>
          <w:sz w:val="24"/>
          <w:szCs w:val="24"/>
          <w:lang w:eastAsia="hi-IN" w:bidi="hi-IN"/>
        </w:rPr>
        <w:t>- увеличение количества мероприятий по тестированию видов испытаний комплекса ГТО с 10 мероприятий в 2019 году до 14 мероприятий в 2025 году.</w:t>
      </w:r>
    </w:p>
    <w:p>
      <w:pPr>
        <w:pStyle w:val="Normal"/>
        <w:widowControl w:val="false"/>
        <w:spacing w:lineRule="auto" w:line="240" w:before="0" w:after="0"/>
        <w:jc w:val="both"/>
        <w:rPr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ab/>
        <w:tab/>
        <w:t> </w:t>
      </w:r>
    </w:p>
    <w:p>
      <w:pPr>
        <w:pStyle w:val="Normal"/>
        <w:widowControl w:val="false"/>
        <w:spacing w:lineRule="auto" w:line="240" w:before="280" w:after="280"/>
        <w:ind w:firstLine="70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val="en-US" w:eastAsia="hi-IN" w:bidi="hi-IN"/>
        </w:rPr>
        <w:t>VI</w:t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>. Информация о сводных показателях муниципальных заданий по годам реализации подпрограммы 1</w:t>
      </w:r>
    </w:p>
    <w:p>
      <w:pPr>
        <w:pStyle w:val="Normal"/>
        <w:widowControl w:val="false"/>
        <w:spacing w:lineRule="auto" w:line="240"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Bookman Old Style" w:ascii="Times New Roman" w:hAnsi="Times New Roman"/>
          <w:color w:val="000000"/>
          <w:kern w:val="2"/>
          <w:sz w:val="24"/>
          <w:szCs w:val="24"/>
          <w:lang w:eastAsia="hi-IN" w:bidi="hi-IN"/>
        </w:rPr>
        <w:t>В рамках реализации подпрограммы 1 запланировано оказание муниципальных услуг (работ) БУ «Центр ФКС» и МБОУ «Юровская школа» (в рамках передаваемых полномочий МО Юровское).</w:t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701" w:right="851" w:header="709" w:top="1134" w:footer="709" w:bottom="1134" w:gutter="0"/>
          <w:pgNumType w:fmt="decimal"/>
          <w:formProt w:val="false"/>
          <w:textDirection w:val="lrTb"/>
          <w:docGrid w:type="default" w:linePitch="360" w:charSpace="12288"/>
        </w:sectPr>
        <w:pStyle w:val="Normal"/>
        <w:ind w:firstLine="709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Times New Roman" w:hAnsi="Times New Roman"/>
          <w:color w:val="000000"/>
          <w:kern w:val="2"/>
          <w:sz w:val="24"/>
          <w:szCs w:val="24"/>
          <w:lang w:eastAsia="hi-IN" w:bidi="hi-IN"/>
        </w:rPr>
        <w:t>Прогноз сводных показателей муниципальных заданий на оказание муниципальных услуг (выполнение работ) приведен в приложении 5 к подпрограмме 1.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Приложение 1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подпрограмме 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  <w:t>Финансовое обеспечение и перечень мероприятий  подпрограммы 1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Bookman Old Style" w:cs="Bookman Old Style" w:ascii="Bookman Old Style" w:hAnsi="Bookman Old Style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  <w:t xml:space="preserve">за счет средств бюджета района </w:t>
      </w:r>
    </w:p>
    <w:tbl>
      <w:tblPr>
        <w:tblW w:w="5000" w:type="pct"/>
        <w:jc w:val="left"/>
        <w:tblInd w:w="-476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1076"/>
        <w:gridCol w:w="1657"/>
        <w:gridCol w:w="1566"/>
        <w:gridCol w:w="4273"/>
        <w:gridCol w:w="931"/>
        <w:gridCol w:w="931"/>
        <w:gridCol w:w="918"/>
        <w:gridCol w:w="912"/>
        <w:gridCol w:w="928"/>
        <w:gridCol w:w="1376"/>
      </w:tblGrid>
      <w:tr>
        <w:trPr/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Статус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</w:rPr>
              <w:t>подпрограммы,  основного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Ответственный исполнитель,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участник</w:t>
            </w:r>
          </w:p>
        </w:tc>
        <w:tc>
          <w:tcPr>
            <w:tcW w:w="4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Источник финансового обеспечения</w:t>
            </w:r>
          </w:p>
        </w:tc>
        <w:tc>
          <w:tcPr>
            <w:tcW w:w="5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Расходы (тыс. руб.)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2021 год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2022 год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2023 год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2024 год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2025 год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Итого</w:t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Подпрограмма 1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«Физическая культура и массовый спорт»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итого  по  подпрограмме 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0"/>
                <w:lang w:val="ru-RU" w:eastAsia="hi-IN" w:bidi="hi-IN"/>
              </w:rPr>
              <w:t>2 864,4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7 118,3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2 864,2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2 864,2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val="ru-RU" w:eastAsia="zh-CN" w:bidi="ar-SA"/>
              </w:rPr>
              <w:t>17 494,3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Cs w:val="20"/>
                <w:lang w:eastAsia="hi-IN" w:bidi="hi-IN"/>
              </w:rPr>
              <w:t>1 955,9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6 143,9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2 864,2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2 864,2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val="ru-RU" w:eastAsia="zh-CN" w:bidi="ar-SA"/>
              </w:rPr>
              <w:t>15 611,4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908,5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974,4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1 882,9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i/>
                <w:i/>
                <w:strike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i/>
                <w:strike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2 269,4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6 368,3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2 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864,2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2 864,2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1 783,2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16 149,3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0"/>
                <w:u w:val="none"/>
                <w:shd w:fill="auto" w:val="clear"/>
                <w:em w:val="none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0"/>
                <w:u w:val="none"/>
                <w:shd w:fill="auto" w:val="clear"/>
                <w:em w:val="none"/>
                <w:lang w:val="ru-RU" w:eastAsia="hi-IN" w:bidi="hi-IN"/>
              </w:rPr>
              <w:t>1 955,9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6 143,9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  <w:t>2  864,2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  <w:t>2  864,2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1 783,2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shd w:fill="auto" w:val="clear"/>
                <w:lang w:val="ru-RU" w:eastAsia="zh-CN" w:bidi="ar-SA"/>
              </w:rPr>
              <w:t>15 611,4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313,5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224,4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537,9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>
          <w:trHeight w:val="303" w:hRule="atLeast"/>
        </w:trPr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i w:val="false"/>
                <w:i w:val="false"/>
                <w:iCs w:val="false"/>
                <w:strike w:val="false"/>
                <w:dstrike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i w:val="false"/>
                <w:iCs w:val="false"/>
                <w:strike w:val="false"/>
                <w:dstrike w:val="false"/>
                <w:kern w:val="2"/>
                <w:sz w:val="20"/>
                <w:szCs w:val="20"/>
                <w:lang w:eastAsia="hi-IN" w:bidi="hi-IN"/>
              </w:rPr>
              <w:t>участник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i w:val="false"/>
                <w:i w:val="false"/>
                <w:iCs w:val="false"/>
                <w:strike w:val="false"/>
                <w:dstrike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i w:val="false"/>
                <w:iCs w:val="false"/>
                <w:strike w:val="false"/>
                <w:dstrike w:val="false"/>
                <w:kern w:val="2"/>
                <w:sz w:val="20"/>
                <w:szCs w:val="20"/>
                <w:lang w:eastAsia="hi-IN" w:bidi="hi-IN"/>
              </w:rPr>
              <w:t>Управление образования Грязовецкого муниципального района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59</w:t>
            </w: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5,0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750,0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1345,0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59</w:t>
            </w: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5,0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750,0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1345,0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Основное мероприятие 1.1</w:t>
            </w:r>
          </w:p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Итого по основному мероприятию 1.1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2 </w:t>
            </w: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440</w:t>
            </w: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3618,0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1412,5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12 758,1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1 </w:t>
            </w:r>
            <w:r>
              <w:rPr>
                <w:rFonts w:eastAsia="Lucida Sans Unicode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531,9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1412,5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10 875,2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908,5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974,4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1 882,9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Bookman Old Style" w:cs="Bookman Old Style"/>
                <w:kern w:val="2"/>
                <w:lang w:eastAsia="hi-IN" w:bidi="hi-IN"/>
              </w:rPr>
            </w:pPr>
            <w:r>
              <w:rPr>
                <w:rFonts w:eastAsia="Bookman Old Style" w:cs="Bookman Old Style" w:ascii="Bookman Old Style" w:hAnsi="Bookman Old Style"/>
                <w:kern w:val="2"/>
                <w:lang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shd w:fill="auto" w:val="clear"/>
                <w:lang w:eastAsia="hi-IN" w:bidi="hi-IN"/>
              </w:rPr>
              <w:t>всего, в том числе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1 845,4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2 868,0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1412,5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11 413,1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shd w:fill="auto" w:val="clear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1 </w:t>
            </w:r>
            <w:r>
              <w:rPr>
                <w:rFonts w:eastAsia="Lucida Sans Unicode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531,9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1412,5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10 875,2</w:t>
            </w:r>
          </w:p>
        </w:tc>
      </w:tr>
      <w:tr>
        <w:trPr>
          <w:trHeight w:val="445" w:hRule="atLeast"/>
        </w:trPr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shd w:fill="auto" w:val="clear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shd w:fill="auto" w:val="clear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  <w:shd w:fill="auto" w:val="clear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313,5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224,4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537,9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Управление образования Грязовецкого муниципального района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59</w:t>
            </w: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5,0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750,0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1345,0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59</w:t>
            </w: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5,0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750,0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1345,0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>
          <w:trHeight w:val="588" w:hRule="atLeast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Основное мероприятие 1.2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«Организация и проведение физкультурных и спортивных мероприятий в рамках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Всероссийского физкультурно-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спортивного комплекса «Готов к труду и обороне» (ГТО)»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416,0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220,6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220,6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220,6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370,7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1 448,5</w:t>
            </w:r>
          </w:p>
        </w:tc>
      </w:tr>
      <w:tr>
        <w:trPr>
          <w:trHeight w:val="588" w:hRule="atLeast"/>
        </w:trPr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416,0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220,6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220,6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220,6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370,7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1 448,5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Основное мероприятие 1.3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«П</w:t>
            </w:r>
            <w:r>
              <w:rPr>
                <w:rStyle w:val="11"/>
                <w:rFonts w:eastAsia="Bookman Old Style" w:cs="Bookman Old Style" w:ascii="Bookman Old Style" w:hAnsi="Bookman Old Style"/>
                <w:b w:val="false"/>
                <w:bCs w:val="false"/>
                <w:color w:val="000000"/>
                <w:kern w:val="2"/>
                <w:sz w:val="20"/>
                <w:szCs w:val="20"/>
                <w:shd w:fill="FFFFFF" w:val="clear"/>
                <w:lang w:eastAsia="ru-RU" w:bidi="hi-IN"/>
              </w:rPr>
              <w:t>роведение кадастровых работ по строительству</w:t>
            </w:r>
            <w:r>
              <w:rPr>
                <w:rStyle w:val="11"/>
                <w:rFonts w:eastAsia="Bookman Old Style" w:cs="Bookman Old Style" w:ascii="Bookman Old Style" w:hAnsi="Bookman Old Style"/>
                <w:b/>
                <w:bCs/>
                <w:color w:val="000000"/>
                <w:kern w:val="2"/>
                <w:sz w:val="20"/>
                <w:szCs w:val="20"/>
                <w:shd w:fill="FFFFFF" w:val="clear"/>
                <w:lang w:eastAsia="ru-RU" w:bidi="hi-IN"/>
              </w:rPr>
              <w:t xml:space="preserve"> </w:t>
            </w:r>
            <w:r>
              <w:rPr>
                <w:rStyle w:val="11"/>
                <w:rFonts w:eastAsia="Bookman Old Style" w:cs="Bookman Old Style" w:ascii="Bookman Old Style" w:hAnsi="Bookman Old Style"/>
                <w:b w:val="false"/>
                <w:bCs w:val="false"/>
                <w:color w:val="000000"/>
                <w:kern w:val="2"/>
                <w:sz w:val="20"/>
                <w:szCs w:val="20"/>
                <w:shd w:fill="FFFFFF" w:val="clear"/>
                <w:lang w:eastAsia="ru-RU" w:bidi="hi-IN"/>
              </w:rPr>
              <w:t>второй очереди физкультурно-оздоровительного комплекса с бассейном в г. Грязовце (1 этап)</w:t>
            </w: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8,0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8,0</w:t>
            </w:r>
          </w:p>
        </w:tc>
      </w:tr>
      <w:tr>
        <w:trPr/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8,0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8,0</w:t>
            </w:r>
          </w:p>
        </w:tc>
      </w:tr>
      <w:tr>
        <w:trPr/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>
          <w:trHeight w:val="367" w:hRule="atLeast"/>
        </w:trPr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  <w:t>Основное мероприятие 1.4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120" w:after="0"/>
              <w:ind w:left="0" w:right="0" w:hanging="0"/>
              <w:jc w:val="both"/>
              <w:rPr>
                <w:rStyle w:val="11"/>
                <w:rFonts w:ascii="Times New Roman" w:hAnsi="Times New Roman" w:eastAsia="Bookman Old Style" w:cs="Times New Roman"/>
                <w:b w:val="false"/>
                <w:b w:val="false"/>
                <w:bCs w:val="false"/>
                <w:color w:val="000000"/>
                <w:kern w:val="2"/>
                <w:sz w:val="20"/>
                <w:szCs w:val="20"/>
                <w:shd w:fill="FFFFFF" w:val="clear"/>
                <w:lang w:eastAsia="ru-RU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  <w:t>«Расходы на строительство второй очереди физкультурно-оздоровительного комплекса с бассейном в г. Грязовце»</w:t>
            </w:r>
          </w:p>
        </w:tc>
        <w:tc>
          <w:tcPr>
            <w:tcW w:w="1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2 729,7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2 729,7</w:t>
            </w:r>
          </w:p>
        </w:tc>
      </w:tr>
      <w:tr>
        <w:trPr/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2 729,7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2 729,7</w:t>
            </w:r>
          </w:p>
        </w:tc>
      </w:tr>
      <w:tr>
        <w:trPr/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  <w:t>Основное мероприятие 1.5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12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«Физкультурно-оздоровительный комплекс открытого типа г.Грязовец, ул.Ленина,101»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120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550,0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550,0</w:t>
            </w:r>
          </w:p>
        </w:tc>
      </w:tr>
      <w:tr>
        <w:trPr/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550,0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550,0</w:t>
            </w:r>
          </w:p>
        </w:tc>
      </w:tr>
      <w:tr>
        <w:trPr/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b/>
          <w:b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Приложение 2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b/>
          <w:b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к подпрограмме 1</w:t>
      </w:r>
    </w:p>
    <w:p>
      <w:pPr>
        <w:pStyle w:val="Normal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Прогнозная (справочная) оценка расходов федерального и областного бюджетов, бюд</w:t>
        <w:softHyphen/>
        <w:t>жетов муниципальных образований района, физических и юридических лиц на реализацию цели подпрограммы 1</w:t>
      </w:r>
      <w:bookmarkStart w:id="0" w:name="__DdeLink__2206_920531914"/>
      <w:bookmarkEnd w:id="0"/>
    </w:p>
    <w:p>
      <w:pPr>
        <w:pStyle w:val="Normal"/>
        <w:tabs>
          <w:tab w:val="clear" w:pos="708"/>
          <w:tab w:val="left" w:pos="-1920" w:leader="none"/>
        </w:tabs>
        <w:jc w:val="center"/>
        <w:rPr>
          <w:b/>
          <w:b/>
          <w:bCs/>
          <w:color w:val="000000"/>
          <w:sz w:val="6"/>
          <w:szCs w:val="6"/>
        </w:rPr>
      </w:pPr>
      <w:r>
        <w:rPr>
          <w:b/>
          <w:bCs/>
          <w:color w:val="000000"/>
          <w:sz w:val="6"/>
          <w:szCs w:val="6"/>
        </w:rPr>
      </w:r>
    </w:p>
    <w:tbl>
      <w:tblPr>
        <w:tblW w:w="12092" w:type="dxa"/>
        <w:jc w:val="left"/>
        <w:tblInd w:w="685" w:type="dxa"/>
        <w:tblLayout w:type="fixed"/>
        <w:tblCellMar>
          <w:top w:w="57" w:type="dxa"/>
          <w:left w:w="113" w:type="dxa"/>
          <w:bottom w:w="57" w:type="dxa"/>
          <w:right w:w="103" w:type="dxa"/>
        </w:tblCellMar>
        <w:tblLook w:firstRow="1" w:noVBand="1" w:lastRow="0" w:firstColumn="1" w:lastColumn="0" w:noHBand="0" w:val="04a0"/>
      </w:tblPr>
      <w:tblGrid>
        <w:gridCol w:w="4257"/>
        <w:gridCol w:w="1878"/>
        <w:gridCol w:w="1590"/>
        <w:gridCol w:w="1427"/>
        <w:gridCol w:w="1407"/>
        <w:gridCol w:w="1532"/>
      </w:tblGrid>
      <w:tr>
        <w:trPr>
          <w:trHeight w:val="510" w:hRule="atLeast"/>
        </w:trPr>
        <w:tc>
          <w:tcPr>
            <w:tcW w:w="42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Источник финансового обеспечения</w:t>
            </w:r>
          </w:p>
        </w:tc>
        <w:tc>
          <w:tcPr>
            <w:tcW w:w="78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Оценка расходов (тыс.руб.),годы</w:t>
            </w:r>
          </w:p>
        </w:tc>
      </w:tr>
      <w:tr>
        <w:trPr>
          <w:trHeight w:val="315" w:hRule="atLeast"/>
        </w:trPr>
        <w:tc>
          <w:tcPr>
            <w:tcW w:w="42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2021 год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2022 год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2023 год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2024  год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2025 год</w:t>
            </w:r>
          </w:p>
        </w:tc>
      </w:tr>
      <w:tr>
        <w:trPr>
          <w:trHeight w:val="315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7,27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8,31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8,83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9,35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9,87</w:t>
            </w:r>
          </w:p>
        </w:tc>
      </w:tr>
      <w:tr>
        <w:trPr>
          <w:trHeight w:val="315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в том числе: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</w:r>
          </w:p>
        </w:tc>
      </w:tr>
      <w:tr>
        <w:trPr>
          <w:trHeight w:val="366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3"/>
              <w:widowControl w:val="false"/>
              <w:suppressAutoHyphens w:val="false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/>
              </w:rPr>
              <w:t>федеральный бюджет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>
        <w:trPr>
          <w:trHeight w:val="366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3"/>
              <w:widowControl w:val="false"/>
              <w:suppressAutoHyphens w:val="false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>
        <w:trPr>
          <w:trHeight w:val="366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3"/>
              <w:widowControl w:val="false"/>
              <w:suppressAutoHyphens w:val="false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/>
              </w:rPr>
              <w:t>бюджеты муниципальных об</w:t>
              <w:softHyphen/>
              <w:t>разований района (в разрезе МО)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>
        <w:trPr>
          <w:trHeight w:val="366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3"/>
              <w:widowControl w:val="false"/>
              <w:suppressAutoHyphens w:val="false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/>
              </w:rPr>
              <w:t>физические и юридические лица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7,27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8,31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8,83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9,35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9,87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ind w:left="9072" w:hanging="0"/>
        <w:jc w:val="right"/>
        <w:rPr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 xml:space="preserve">Приложение 3 </w:t>
      </w:r>
    </w:p>
    <w:p>
      <w:pPr>
        <w:pStyle w:val="Normal"/>
        <w:widowControl w:val="false"/>
        <w:spacing w:lineRule="auto" w:line="240" w:before="0" w:after="0"/>
        <w:ind w:left="9072" w:hanging="0"/>
        <w:jc w:val="right"/>
        <w:rPr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к подпрограмме 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  <w:t xml:space="preserve">Сведения о показателях (индикаторах) подпрограммы 1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tbl>
      <w:tblPr>
        <w:tblW w:w="15241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594"/>
        <w:gridCol w:w="2618"/>
        <w:gridCol w:w="4588"/>
        <w:gridCol w:w="1135"/>
        <w:gridCol w:w="997"/>
        <w:gridCol w:w="998"/>
        <w:gridCol w:w="989"/>
        <w:gridCol w:w="724"/>
        <w:gridCol w:w="875"/>
        <w:gridCol w:w="991"/>
        <w:gridCol w:w="730"/>
      </w:tblGrid>
      <w:tr>
        <w:trPr/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 xml:space="preserve">N </w:t>
              <w:br/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Задачи, направленные</w:t>
              <w:br/>
              <w:t>на достижение цели</w:t>
            </w:r>
          </w:p>
        </w:tc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 xml:space="preserve">Наименование </w:t>
              <w:br/>
              <w:t>показателя (индикатора)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Ед. измерения</w:t>
            </w:r>
          </w:p>
        </w:tc>
        <w:tc>
          <w:tcPr>
            <w:tcW w:w="63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Значение показателя (индикатора)</w:t>
            </w:r>
          </w:p>
        </w:tc>
      </w:tr>
      <w:tr>
        <w:trPr/>
        <w:tc>
          <w:tcPr>
            <w:tcW w:w="5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26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45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2019 год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Bookman Old Style" w:ascii="Bookman Old Style" w:hAnsi="Bookman Old Style"/>
                <w:lang w:val="en-US"/>
              </w:rPr>
              <w:t>20</w:t>
            </w:r>
            <w:r>
              <w:rPr>
                <w:rFonts w:cs="Bookman Old Style" w:ascii="Bookman Old Style" w:hAnsi="Bookman Old Style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Bookman Old Style" w:ascii="Bookman Old Style" w:hAnsi="Bookman Old Style"/>
                <w:lang w:val="en-US"/>
              </w:rPr>
              <w:t>20</w:t>
            </w:r>
            <w:r>
              <w:rPr>
                <w:rFonts w:cs="Bookman Old Style" w:ascii="Bookman Old Style" w:hAnsi="Bookman Old Style"/>
              </w:rPr>
              <w:t>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год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Bookman Old Style" w:ascii="Bookman Old Style" w:hAnsi="Bookman Old Style"/>
                <w:lang w:val="en-US"/>
              </w:rPr>
              <w:t>20</w:t>
            </w:r>
            <w:r>
              <w:rPr>
                <w:rFonts w:cs="Bookman Old Style" w:ascii="Bookman Old Style" w:hAnsi="Bookman Old Style"/>
              </w:rPr>
              <w:t>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год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Bookman Old Style" w:ascii="Bookman Old Style" w:hAnsi="Bookman Old Style"/>
                <w:lang w:val="en-US"/>
              </w:rPr>
              <w:t>20</w:t>
            </w:r>
            <w:r>
              <w:rPr>
                <w:rFonts w:cs="Bookman Old Style" w:ascii="Bookman Old Style" w:hAnsi="Bookman Old Style"/>
              </w:rPr>
              <w:t>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год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2025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год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11</w:t>
            </w:r>
          </w:p>
        </w:tc>
      </w:tr>
      <w:tr>
        <w:trPr>
          <w:trHeight w:val="567" w:hRule="atLeast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1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Bookman Old Style" w:ascii="Bookman Old Style" w:hAnsi="Bookman Old Style"/>
                <w:kern w:val="2"/>
                <w:lang w:eastAsia="hi-IN" w:bidi="hi-IN"/>
              </w:rPr>
              <w:t>Увеличение уровня вовлеченности населения в систематические  занятия физической культурой  и спортом</w:t>
            </w:r>
            <w:r>
              <w:rPr>
                <w:rFonts w:cs="Bookman Old Style" w:ascii="Bookman Old Style" w:hAnsi="Bookman Old Style"/>
              </w:rPr>
              <w:t>, в том числе посредством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численность детей и молодежи (возраст 3 - 29 лет), систематически занимающихся физической культурой и спортом в БУ «Центр ФКС»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человек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3481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348</w:t>
            </w:r>
            <w:r>
              <w:rPr>
                <w:rFonts w:cs="Times New Roman" w:ascii="Times New Roman" w:hAnsi="Times New Roman"/>
                <w:color w:val="000000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489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3590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3700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3750</w:t>
            </w:r>
          </w:p>
        </w:tc>
      </w:tr>
      <w:tr>
        <w:trPr>
          <w:trHeight w:val="567" w:hRule="atLeast"/>
        </w:trPr>
        <w:tc>
          <w:tcPr>
            <w:tcW w:w="5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26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численность  граждан среднего возраста (женщины: 30 - 54 года; мужчины: 30-59 лет), систематически занимающихся физической культурой и спортом в БУ «Центр ФКС»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человек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3361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3</w:t>
            </w: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532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3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540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hd w:fill="auto" w:val="clear"/>
                <w:lang w:eastAsia="hi-IN" w:bidi="hi-IN"/>
              </w:rPr>
              <w:t>3642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3720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3800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3850</w:t>
            </w:r>
          </w:p>
        </w:tc>
      </w:tr>
      <w:tr>
        <w:trPr>
          <w:trHeight w:val="1472" w:hRule="atLeast"/>
        </w:trPr>
        <w:tc>
          <w:tcPr>
            <w:tcW w:w="5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26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численность граждан старшего возраста (женщины: 55-79 лет; мужчины: 60-79 лет), систематически занимающихся физической культурой и спортом в БУ «Центр ФКС»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человек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945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9</w:t>
            </w: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956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980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990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1000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1010</w:t>
            </w:r>
          </w:p>
        </w:tc>
      </w:tr>
      <w:tr>
        <w:trPr>
          <w:trHeight w:val="567" w:hRule="atLeast"/>
        </w:trPr>
        <w:tc>
          <w:tcPr>
            <w:tcW w:w="5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26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>
              <w:rPr>
                <w:rFonts w:cs="Bookman Old Style" w:ascii="Bookman Old Style" w:hAnsi="Bookman Old Style"/>
                <w:lang w:eastAsia="ru-RU"/>
              </w:rPr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доля лиц, выполнивших нормативы Всероссийского физкультурно-спортивного комплекса «Готов к труду и обороне» (ГТО), в общей численности населения района,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color w:val="000000"/>
                <w:kern w:val="2"/>
                <w:lang w:eastAsia="hi-IN" w:bidi="hi-IN"/>
              </w:rPr>
              <w:t>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53,3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5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lang w:eastAsia="hi-IN" w:bidi="hi-IN"/>
              </w:rPr>
              <w:t>9,0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53,5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53,6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53,7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53,9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54,0</w:t>
            </w:r>
          </w:p>
        </w:tc>
      </w:tr>
      <w:tr>
        <w:trPr/>
        <w:tc>
          <w:tcPr>
            <w:tcW w:w="5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26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>
              <w:rPr>
                <w:rFonts w:cs="Bookman Old Style" w:ascii="Bookman Old Style" w:hAnsi="Bookman Old Style"/>
                <w:lang w:eastAsia="ru-RU"/>
              </w:rPr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количество мероприятий по тестированию видов испытаний комплекса ГТО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Bookman Old Style" w:ascii="Bookman Old Style" w:hAnsi="Bookman Old Style"/>
                <w:color w:val="000000"/>
                <w:kern w:val="2"/>
                <w:lang w:eastAsia="hi-IN" w:bidi="hi-IN"/>
              </w:rPr>
              <w:t>1</w:t>
            </w:r>
            <w:r>
              <w:rPr>
                <w:rFonts w:eastAsia="Calibri" w:cs="Bookman Old Style" w:ascii="Bookman Old Style" w:hAnsi="Bookman Old Style"/>
                <w:color w:val="000000"/>
                <w:kern w:val="2"/>
                <w:sz w:val="22"/>
                <w:szCs w:val="22"/>
                <w:lang w:val="ru-RU" w:eastAsia="hi-IN" w:bidi="hi-IN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color w:val="000000"/>
                <w:kern w:val="2"/>
                <w:lang w:eastAsia="hi-IN" w:bidi="hi-IN"/>
              </w:rPr>
              <w:t>11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 w:eastAsia="Calibri" w:cs="Bookman Old Style"/>
                <w:color w:val="000000"/>
              </w:rPr>
            </w:pPr>
            <w:r>
              <w:rPr>
                <w:rFonts w:eastAsia="Calibri" w:cs="Bookman Old Style" w:ascii="Bookman Old Style" w:hAnsi="Bookman Old Style"/>
                <w:color w:val="000000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color w:val="000000"/>
                <w:kern w:val="2"/>
                <w:lang w:eastAsia="hi-IN" w:bidi="hi-IN"/>
              </w:rPr>
              <w:t>14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9072" w:right="0" w:hanging="0"/>
        <w:jc w:val="right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 xml:space="preserve">Приложение 4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к  подпрограмме 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b/>
          <w:bCs/>
          <w:kern w:val="2"/>
          <w:sz w:val="24"/>
          <w:szCs w:val="24"/>
          <w:lang w:eastAsia="hi-IN" w:bidi="hi-IN"/>
        </w:rPr>
        <w:t>Методика расчета значений показателей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b/>
          <w:bCs/>
          <w:kern w:val="2"/>
          <w:sz w:val="24"/>
          <w:szCs w:val="24"/>
          <w:lang w:eastAsia="hi-IN" w:bidi="hi-IN"/>
        </w:rPr>
        <w:t>(индикаторов) подпрограммы 1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Bookman Old Style" w:hAnsi="Bookman Old Style" w:eastAsia="Lucida Sans Unicode" w:cs="Bookman Old Style"/>
          <w:b/>
          <w:b/>
          <w:bCs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b/>
          <w:bCs/>
          <w:kern w:val="2"/>
          <w:sz w:val="24"/>
          <w:szCs w:val="24"/>
          <w:lang w:eastAsia="hi-IN" w:bidi="hi-IN"/>
        </w:rPr>
      </w:r>
    </w:p>
    <w:tbl>
      <w:tblPr>
        <w:tblW w:w="15629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28"/>
        <w:gridCol w:w="3818"/>
        <w:gridCol w:w="2268"/>
        <w:gridCol w:w="1200"/>
        <w:gridCol w:w="4190"/>
        <w:gridCol w:w="3124"/>
      </w:tblGrid>
      <w:tr>
        <w:trPr/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 xml:space="preserve">N </w:t>
              <w:br/>
              <w:t>п/п</w:t>
            </w: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Обозначение и наимено</w:t>
              <w:softHyphen/>
              <w:t>вание показателя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(индикатора)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Формула рас</w:t>
              <w:softHyphen/>
              <w:t>чета</w:t>
            </w:r>
          </w:p>
        </w:tc>
        <w:tc>
          <w:tcPr>
            <w:tcW w:w="8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Исходные данные для расчета значений показателя</w:t>
            </w:r>
          </w:p>
        </w:tc>
      </w:tr>
      <w:tr>
        <w:trPr/>
        <w:tc>
          <w:tcPr>
            <w:tcW w:w="1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Обозначение переменной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Наименование переменной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Источник исходных данных</w:t>
            </w:r>
          </w:p>
        </w:tc>
      </w:tr>
      <w:tr>
        <w:trPr/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4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6</w:t>
            </w:r>
          </w:p>
        </w:tc>
      </w:tr>
      <w:tr>
        <w:trPr/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1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Чд - ч</w:t>
            </w:r>
            <w:r>
              <w:rPr>
                <w:rFonts w:cs="Bookman Old Style" w:ascii="Bookman Old Style" w:hAnsi="Bookman Old Style"/>
              </w:rPr>
              <w:t>исленность детей и молодежи (возраст 3 - 29 лет), систематически занимающихся физической культурой и спортом в БУ «Центр ФКС»,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</w:rPr>
              <w:t>Чд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Чд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ind w:firstLine="3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</w:rPr>
              <w:t>численность детей и молодежи (возраст 3 - 29 лет), систематически занимающихся физической культурой и спортом в БУ «Центр ФКС», человек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форма ежегодного Федерального  статистического наблюдения 1-ФК,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статистические данные</w:t>
            </w:r>
            <w:r>
              <w:rPr>
                <w:rFonts w:cs="Bookman Old Style" w:ascii="Bookman Old Style" w:hAnsi="Bookman Old Style"/>
              </w:rPr>
              <w:t xml:space="preserve"> БУ «Центр ФКС»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b/>
                <w:b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b/>
                <w:kern w:val="2"/>
                <w:lang w:eastAsia="hi-IN" w:bidi="hi-IN"/>
              </w:rPr>
            </w:r>
          </w:p>
        </w:tc>
      </w:tr>
      <w:tr>
        <w:trPr/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</w:rPr>
              <w:t>Чср - численность  граждан среднего возраста (женщины: 30 - 54 года; мужчины: 30-59 лет), систематически занимающихся физической культурой и спортом в БУ «Центр ФКС»,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Чср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</w:rPr>
              <w:t>Чср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</w:rPr>
              <w:t>численность  граждан среднего возраста (женщины: 30 - 54 года; мужчины: 30-59 лет), систематически занимающихся физической культурой и спортом в БУ «Центр ФКС», человек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форма ежегодного Федерального  статистического наблюдения 1-ФК,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статистические данные</w:t>
            </w:r>
            <w:r>
              <w:rPr>
                <w:rFonts w:cs="Bookman Old Style" w:ascii="Bookman Old Style" w:hAnsi="Bookman Old Style"/>
              </w:rPr>
              <w:t xml:space="preserve"> БУ «Центр ФКС»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</w:r>
          </w:p>
        </w:tc>
      </w:tr>
      <w:tr>
        <w:trPr/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Чст - численность граждан старшего возраста (женщины: 55-79 лет; мужчины: 60-79 лет), систематически занимающихся физической культурой и спортом в БУ «Центр ФКС»,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Чст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Чст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численность граждан старшего возраста (женщины: 55-79 лет; мужчины: 60-79 лет), систематически занимающихся физической культурой и спортом в БУ «Центр ФКС», человек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форма ежегодного Федерального  статистического наблюдения 1-ФК,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статистические данные</w:t>
            </w:r>
            <w:r>
              <w:rPr>
                <w:rFonts w:cs="Bookman Old Style" w:ascii="Bookman Old Style" w:hAnsi="Bookman Old Style"/>
              </w:rPr>
              <w:t xml:space="preserve"> БУ «Центр ФКС»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</w:r>
          </w:p>
        </w:tc>
      </w:tr>
      <w:tr>
        <w:trPr>
          <w:trHeight w:val="170" w:hRule="atLeast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4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Дг - доля лиц,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jc w:val="center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Дг = Чг / Чнг x 100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jc w:val="center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Чг</w:t>
            </w:r>
          </w:p>
        </w:tc>
        <w:tc>
          <w:tcPr>
            <w:tcW w:w="41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 xml:space="preserve">численность лиц, выполнивших нормативы испытаний (тестов) Всероссийского физкультурно-спортивного комплекса «Готов к труду и обороне» (ГТО) на знак отличия, </w:t>
            </w:r>
            <w:r>
              <w:rPr>
                <w:rFonts w:cs="Bookman Old Style" w:ascii="Bookman Old Style" w:hAnsi="Bookman Old Style"/>
              </w:rPr>
              <w:t>человек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1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</w:r>
          </w:p>
        </w:tc>
        <w:tc>
          <w:tcPr>
            <w:tcW w:w="312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форма ежегодного федерального статистического наблюдения № 2 ГТО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</w:r>
          </w:p>
        </w:tc>
      </w:tr>
      <w:tr>
        <w:trPr>
          <w:trHeight w:val="404" w:hRule="atLeast"/>
        </w:trPr>
        <w:tc>
          <w:tcPr>
            <w:tcW w:w="1028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818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 w:cs="Bookman Old Style"/>
                <w:highlight w:val="yellow"/>
              </w:rPr>
            </w:pPr>
            <w:r>
              <w:rPr>
                <w:rFonts w:cs="Bookman Old Style" w:ascii="Bookman Old Style" w:hAnsi="Bookman Old Style"/>
                <w:highlight w:val="yellow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1200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4190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1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</w:r>
          </w:p>
        </w:tc>
        <w:tc>
          <w:tcPr>
            <w:tcW w:w="312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</w:r>
          </w:p>
        </w:tc>
      </w:tr>
      <w:tr>
        <w:trPr>
          <w:trHeight w:val="1719" w:hRule="atLeast"/>
        </w:trPr>
        <w:tc>
          <w:tcPr>
            <w:tcW w:w="1028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818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 w:cs="Bookman Old Style"/>
                <w:highlight w:val="yellow"/>
              </w:rPr>
            </w:pPr>
            <w:r>
              <w:rPr>
                <w:rFonts w:cs="Bookman Old Style" w:ascii="Bookman Old Style" w:hAnsi="Bookman Old Style"/>
                <w:highlight w:val="yellow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jc w:val="center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Чнг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 xml:space="preserve">численность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</w:t>
            </w:r>
            <w:r>
              <w:rPr>
                <w:rFonts w:cs="Bookman Old Style" w:ascii="Bookman Old Style" w:hAnsi="Bookman Old Style"/>
              </w:rPr>
              <w:t>человек</w:t>
            </w:r>
          </w:p>
        </w:tc>
        <w:tc>
          <w:tcPr>
            <w:tcW w:w="312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</w:r>
          </w:p>
        </w:tc>
      </w:tr>
      <w:tr>
        <w:trPr>
          <w:trHeight w:val="58" w:hRule="atLeast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Кмер - количество мероприятий по тестированию видов испытаний комплекса ГТО, ед.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Кмер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Кмер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к</w:t>
            </w: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оличество мероприятий по тестированию видов испытаний комплекса в отчетном году, ед.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форма ежегодного федерального статистического наблюдения № 2 ГТО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 xml:space="preserve">Приложение 5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к подпрограмме 1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28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 бюджетным учреждением района по подпрограмме 1</w:t>
      </w:r>
    </w:p>
    <w:tbl>
      <w:tblPr>
        <w:tblW w:w="140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92"/>
        <w:gridCol w:w="829"/>
        <w:gridCol w:w="850"/>
        <w:gridCol w:w="782"/>
        <w:gridCol w:w="891"/>
        <w:gridCol w:w="971"/>
        <w:gridCol w:w="1071"/>
        <w:gridCol w:w="988"/>
        <w:gridCol w:w="1069"/>
        <w:gridCol w:w="1085"/>
        <w:gridCol w:w="944"/>
      </w:tblGrid>
      <w:tr>
        <w:trPr/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Наименование</w:t>
            </w:r>
          </w:p>
        </w:tc>
        <w:tc>
          <w:tcPr>
            <w:tcW w:w="4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Значение показателя объема услуги (работы)</w:t>
            </w:r>
          </w:p>
        </w:tc>
        <w:tc>
          <w:tcPr>
            <w:tcW w:w="5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Расходы бюджета района на оказание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муниципальной услуги (работы), тыс. руб.</w:t>
            </w:r>
          </w:p>
        </w:tc>
      </w:tr>
      <w:tr>
        <w:trPr/>
        <w:tc>
          <w:tcPr>
            <w:tcW w:w="4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Bookman Old Style"/>
                <w:kern w:val="2"/>
                <w:lang w:eastAsia="hi-IN" w:bidi="hi-IN"/>
              </w:rPr>
            </w:pPr>
            <w:r>
              <w:rPr>
                <w:rFonts w:cs="Bookman Old Style" w:ascii="Times New Roman" w:hAnsi="Times New Roman"/>
                <w:kern w:val="2"/>
                <w:lang w:eastAsia="hi-IN" w:bidi="hi-IN"/>
              </w:rPr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2022 год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2023 год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2024 год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2025 год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2021 год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2022 год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2023 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2024 год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2025 год</w:t>
            </w:r>
          </w:p>
        </w:tc>
      </w:tr>
      <w:tr>
        <w:trPr/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11</w:t>
            </w:r>
          </w:p>
        </w:tc>
      </w:tr>
      <w:tr>
        <w:trPr/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услуги (работы) и ее содержание:</w:t>
            </w:r>
          </w:p>
        </w:tc>
        <w:tc>
          <w:tcPr>
            <w:tcW w:w="9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Организация и проведение официальных физкультурных (физкультурно-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оздоровительных) мероприятий</w:t>
            </w:r>
          </w:p>
        </w:tc>
      </w:tr>
      <w:tr>
        <w:trPr/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 объема услуги (работы), ед. измерения:</w:t>
            </w:r>
          </w:p>
        </w:tc>
        <w:tc>
          <w:tcPr>
            <w:tcW w:w="9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мероприятий, шт.</w:t>
            </w:r>
          </w:p>
        </w:tc>
      </w:tr>
      <w:tr>
        <w:trPr/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   Физическое воспитание и обеспечение организации и проведения физкультурных мероприятий и массовых спортивных мероприятий       (БУ «Центр ФКС»)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66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2"/>
                <w:szCs w:val="22"/>
                <w:lang w:eastAsia="hi-IN" w:bidi="hi-IN"/>
              </w:rPr>
              <w:t>1 845,4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2"/>
                <w:szCs w:val="22"/>
                <w:shd w:fill="auto" w:val="clear"/>
                <w:lang w:eastAsia="hi-IN" w:bidi="hi-IN"/>
              </w:rPr>
              <w:t>28</w:t>
            </w: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2"/>
                <w:szCs w:val="22"/>
                <w:shd w:fill="auto" w:val="clear"/>
                <w:lang w:val="ru-RU" w:eastAsia="hi-IN" w:bidi="hi-IN"/>
              </w:rPr>
              <w:t>68,0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2643,6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2643,6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Lucida Sans Unicode" w:cs="Times New Roman" w:ascii="Times New Roman" w:hAnsi="Times New Roman"/>
                <w:kern w:val="2"/>
                <w:lang w:eastAsia="hi-IN" w:bidi="hi-IN"/>
              </w:rPr>
              <w:t>1</w:t>
            </w:r>
            <w:r>
              <w:rPr>
                <w:rFonts w:eastAsia="Lucida Sans Unicode" w:cs="Times New Roman" w:ascii="Times New Roman" w:hAnsi="Times New Roman"/>
                <w:color w:val="000000"/>
                <w:kern w:val="2"/>
                <w:lang w:eastAsia="hi-IN" w:bidi="hi-IN"/>
              </w:rPr>
              <w:t>841,4</w:t>
            </w:r>
          </w:p>
        </w:tc>
      </w:tr>
      <w:tr>
        <w:trPr/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услуги (работы) и ее содержание:</w:t>
            </w:r>
          </w:p>
        </w:tc>
        <w:tc>
          <w:tcPr>
            <w:tcW w:w="9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Обеспечение участия в официальных муниципальных физкультурных (физкультурно-оздоровительных) мероприятиях</w:t>
            </w:r>
          </w:p>
        </w:tc>
      </w:tr>
      <w:tr>
        <w:trPr/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 объема услуги (работы), ед. измерения:</w:t>
            </w:r>
          </w:p>
        </w:tc>
        <w:tc>
          <w:tcPr>
            <w:tcW w:w="9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мероприятий, шт.</w:t>
            </w:r>
          </w:p>
        </w:tc>
      </w:tr>
      <w:tr>
        <w:trPr/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   Физическое воспитание и обеспечение организации и проведения физкультурных мероприятий и массовых спортивных мероприятий (МБОУ «Юровская школа»)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44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595,0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750,0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</w:t>
            </w:r>
          </w:p>
        </w:tc>
      </w:tr>
      <w:tr>
        <w:trPr/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услуги (работы) и ее содержание:</w:t>
            </w:r>
          </w:p>
        </w:tc>
        <w:tc>
          <w:tcPr>
            <w:tcW w:w="9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Проведение тестирования выполнения нормативов испытаний (тестов) комплекса ГТО</w:t>
            </w:r>
          </w:p>
        </w:tc>
      </w:tr>
      <w:tr>
        <w:trPr/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 объема услуги (работы), ед. измерения:</w:t>
            </w:r>
          </w:p>
        </w:tc>
        <w:tc>
          <w:tcPr>
            <w:tcW w:w="9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Количество мероприятий по тестированию видов испытаний комплекса ГТО, шт.</w:t>
            </w:r>
          </w:p>
        </w:tc>
      </w:tr>
      <w:tr>
        <w:trPr/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1.2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1</w:t>
            </w: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1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lang w:eastAsia="hi-IN" w:bidi="hi-IN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1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lang w:eastAsia="hi-IN" w:bidi="hi-IN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416,0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220,6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220,6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220,6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370,7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</w:r>
          </w:p>
        </w:tc>
      </w:tr>
    </w:tbl>
    <w:p>
      <w:pPr>
        <w:pStyle w:val="Normal"/>
        <w:widowControl w:val="false"/>
        <w:spacing w:lineRule="auto" w:line="240" w:before="0" w:after="28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b w:val="false"/>
          <w:b w:val="false"/>
          <w:bCs w:val="false"/>
        </w:rPr>
      </w:pPr>
      <w:r>
        <w:rPr>
          <w:rFonts w:cs="Bookman Old Style" w:ascii="Bookman Old Style" w:hAnsi="Bookman Old Style"/>
          <w:b w:val="false"/>
          <w:bCs w:val="false"/>
          <w:sz w:val="24"/>
          <w:szCs w:val="24"/>
        </w:rPr>
        <w:t>Приложение 6</w:t>
      </w:r>
    </w:p>
    <w:p>
      <w:pPr>
        <w:pStyle w:val="Normal"/>
        <w:widowControl w:val="false"/>
        <w:spacing w:lineRule="auto" w:line="240" w:before="0" w:after="0"/>
        <w:jc w:val="right"/>
        <w:rPr>
          <w:b w:val="false"/>
          <w:b w:val="false"/>
          <w:bCs w:val="false"/>
        </w:rPr>
      </w:pPr>
      <w:r>
        <w:rPr>
          <w:rFonts w:cs="Bookman Old Style" w:ascii="Bookman Old Style" w:hAnsi="Bookman Old Style"/>
          <w:b w:val="false"/>
          <w:bCs w:val="false"/>
          <w:sz w:val="24"/>
          <w:szCs w:val="24"/>
        </w:rPr>
        <w:t>к подпрограмме 1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 инвестиционного проекта</w:t>
      </w:r>
    </w:p>
    <w:tbl>
      <w:tblPr>
        <w:tblW w:w="5000" w:type="pct"/>
        <w:jc w:val="left"/>
        <w:tblInd w:w="-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99"/>
        <w:gridCol w:w="8870"/>
      </w:tblGrid>
      <w:tr>
        <w:trPr/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Наименование объекта капитального строительства</w:t>
            </w:r>
          </w:p>
        </w:tc>
        <w:tc>
          <w:tcPr>
            <w:tcW w:w="8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jc w:val="both"/>
              <w:rPr>
                <w:rFonts w:ascii="Times New Roman" w:hAnsi="Times New Roman" w:eastAsia="Calibri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Calibri" w:ascii="Times New Roma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Строительство физкультурно-оздоровительного комплекса открытого типа, расположенного по адресу: г. Грязовец, ул. Ленина, д. 101</w:t>
            </w:r>
          </w:p>
        </w:tc>
      </w:tr>
      <w:tr>
        <w:trPr/>
        <w:tc>
          <w:tcPr>
            <w:tcW w:w="56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Направление расходования средств</w:t>
            </w:r>
          </w:p>
        </w:tc>
        <w:tc>
          <w:tcPr>
            <w:tcW w:w="8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Проектирование, строительство, реконструкция и капитальный ремонт</w:t>
            </w:r>
          </w:p>
        </w:tc>
      </w:tr>
      <w:tr>
        <w:trPr/>
        <w:tc>
          <w:tcPr>
            <w:tcW w:w="56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8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Администрация Грязовецкого муниципального района</w:t>
            </w:r>
          </w:p>
        </w:tc>
      </w:tr>
      <w:tr>
        <w:trPr/>
        <w:tc>
          <w:tcPr>
            <w:tcW w:w="56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Мощность (прирост мощности) объекта капитального строительства</w:t>
            </w:r>
          </w:p>
        </w:tc>
        <w:tc>
          <w:tcPr>
            <w:tcW w:w="8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</w:p>
        </w:tc>
      </w:tr>
      <w:tr>
        <w:trPr/>
        <w:tc>
          <w:tcPr>
            <w:tcW w:w="56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Срок ввода в эксплуатацию объекта</w:t>
            </w:r>
          </w:p>
        </w:tc>
        <w:tc>
          <w:tcPr>
            <w:tcW w:w="8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2023 год</w:t>
            </w:r>
          </w:p>
        </w:tc>
      </w:tr>
      <w:tr>
        <w:trPr/>
        <w:tc>
          <w:tcPr>
            <w:tcW w:w="56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Предполагаемая (предельная) стоимость объекта капитального строительства</w:t>
            </w:r>
          </w:p>
        </w:tc>
        <w:tc>
          <w:tcPr>
            <w:tcW w:w="8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16 592,8 тыс. руб.</w:t>
            </w:r>
          </w:p>
        </w:tc>
      </w:tr>
      <w:tr>
        <w:trPr/>
        <w:tc>
          <w:tcPr>
            <w:tcW w:w="56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Общий (предельный) объем бюджетных средств</w:t>
            </w:r>
          </w:p>
        </w:tc>
        <w:tc>
          <w:tcPr>
            <w:tcW w:w="8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550,0 тыс. руб.</w:t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orient="landscape" w:w="16838" w:h="11906"/>
          <w:pgMar w:left="1134" w:right="1134" w:header="709" w:top="1134" w:footer="709" w:bottom="1134" w:gutter="0"/>
          <w:pgNumType w:fmt="decimal"/>
          <w:formProt w:val="false"/>
          <w:textDirection w:val="lrTb"/>
          <w:docGrid w:type="default" w:linePitch="360" w:charSpace="12288"/>
        </w:sectPr>
      </w:pP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jc w:val="right"/>
        <w:rPr>
          <w:rFonts w:ascii="Bookman Old Style" w:hAnsi="Bookman Old Style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Bookman Old Style" w:hAnsi="Bookman Old Style"/>
          <w:color w:val="000000"/>
          <w:sz w:val="24"/>
          <w:szCs w:val="24"/>
          <w:lang w:eastAsia="ru-RU"/>
        </w:rPr>
        <w:t>Приложение 6</w:t>
      </w:r>
    </w:p>
    <w:p>
      <w:pPr>
        <w:pStyle w:val="Normal"/>
        <w:spacing w:lineRule="auto" w:line="240" w:before="0" w:after="0"/>
        <w:jc w:val="right"/>
        <w:rPr>
          <w:rFonts w:ascii="Bookman Old Style" w:hAnsi="Bookman Old Style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Bookman Old Style" w:hAnsi="Bookman Old Style"/>
          <w:color w:val="000000"/>
          <w:sz w:val="24"/>
          <w:szCs w:val="24"/>
          <w:lang w:eastAsia="ru-RU"/>
        </w:rPr>
        <w:t>к муниципальной программе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Times New Roman"/>
          <w:b/>
          <w:b/>
          <w:kern w:val="2"/>
          <w:sz w:val="28"/>
          <w:szCs w:val="24"/>
          <w:lang w:eastAsia="hi-IN" w:bidi="hi-IN"/>
        </w:rPr>
      </w:pPr>
      <w:r>
        <w:rPr>
          <w:rFonts w:eastAsia="Times New Roman" w:ascii="Bookman Old Style" w:hAnsi="Bookman Old Style"/>
          <w:b/>
          <w:kern w:val="2"/>
          <w:sz w:val="28"/>
          <w:szCs w:val="24"/>
          <w:lang w:eastAsia="hi-IN" w:bidi="hi-IN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ascii="Bookman Old Style" w:hAnsi="Bookman Old Style"/>
          <w:b/>
          <w:kern w:val="2"/>
          <w:sz w:val="24"/>
          <w:szCs w:val="24"/>
          <w:lang w:eastAsia="hi-IN" w:bidi="hi-IN"/>
        </w:rPr>
        <w:t>ПОДПРОГРАММА 2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ascii="Bookman Old Style" w:hAnsi="Bookman Old Style"/>
          <w:b/>
          <w:kern w:val="2"/>
          <w:sz w:val="24"/>
          <w:szCs w:val="24"/>
          <w:lang w:eastAsia="hi-IN" w:bidi="hi-IN"/>
        </w:rPr>
        <w:t>«Спортивная подготовка»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ascii="Bookman Old Style" w:hAnsi="Bookman Old Style"/>
          <w:b/>
          <w:kern w:val="2"/>
          <w:sz w:val="24"/>
          <w:szCs w:val="24"/>
          <w:lang w:eastAsia="hi-IN" w:bidi="hi-IN"/>
        </w:rPr>
        <w:t>(далее - подпрограмма 2)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ascii="Bookman Old Style" w:hAnsi="Bookman Old Style"/>
          <w:b/>
          <w:kern w:val="2"/>
          <w:sz w:val="24"/>
          <w:szCs w:val="24"/>
          <w:lang w:eastAsia="hi-IN" w:bidi="hi-IN"/>
        </w:rPr>
        <w:t>ПАСПОРТ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ascii="Bookman Old Style" w:hAnsi="Bookman Old Style"/>
          <w:b/>
          <w:kern w:val="2"/>
          <w:sz w:val="24"/>
          <w:szCs w:val="24"/>
          <w:lang w:eastAsia="hi-IN" w:bidi="hi-IN"/>
        </w:rPr>
        <w:t>подпрограммы 2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ascii="Bookman Old Style" w:hAnsi="Bookman Old Style"/>
          <w:b/>
          <w:kern w:val="2"/>
          <w:sz w:val="24"/>
          <w:szCs w:val="24"/>
          <w:lang w:eastAsia="hi-IN" w:bidi="hi-IN"/>
        </w:rPr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75"/>
        <w:gridCol w:w="7513"/>
      </w:tblGrid>
      <w:tr>
        <w:trPr>
          <w:trHeight w:val="930" w:hRule="atLeast"/>
        </w:trPr>
        <w:tc>
          <w:tcPr>
            <w:tcW w:w="2375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  <w:t>Ответственный исполнитель  подпрограммы 2</w:t>
            </w:r>
          </w:p>
        </w:tc>
        <w:tc>
          <w:tcPr>
            <w:tcW w:w="75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</w:tr>
      <w:tr>
        <w:trPr>
          <w:trHeight w:val="929" w:hRule="atLeast"/>
        </w:trPr>
        <w:tc>
          <w:tcPr>
            <w:tcW w:w="2375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  <w:t>Участник подпрограммы 2</w:t>
            </w:r>
          </w:p>
        </w:tc>
        <w:tc>
          <w:tcPr>
            <w:tcW w:w="7513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  <w:t>нет</w:t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  <w:t>Цель подпрограммы  2</w:t>
            </w:r>
          </w:p>
        </w:tc>
        <w:tc>
          <w:tcPr>
            <w:tcW w:w="7513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  <w:t>о</w:t>
            </w: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  <w:t>беспечение спортивной подготовки в соответствии с федеральными стандартами спортивной подготовки по видам спорта, включенным во всероссийский реестр видов спорта</w:t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  <w:t>Задача подпрограммы 2</w:t>
            </w:r>
          </w:p>
        </w:tc>
        <w:tc>
          <w:tcPr>
            <w:tcW w:w="7513" w:type="dxa"/>
            <w:tcBorders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  <w:t>повышение результативности системы подготовки спортивного резерва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  <w:t>Целевые показатели (индикаторы) подпрограммы 2</w:t>
            </w:r>
          </w:p>
        </w:tc>
        <w:tc>
          <w:tcPr>
            <w:tcW w:w="75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  <w:t>количество призовых мест, занятых 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уровнях;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число спортсменов, выполнивших массовые спортивные разряды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  <w:t>Сроки реализации подпрограммы 2</w:t>
            </w:r>
          </w:p>
        </w:tc>
        <w:tc>
          <w:tcPr>
            <w:tcW w:w="75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  <w:t>2021-2025 годы</w:t>
            </w:r>
          </w:p>
        </w:tc>
      </w:tr>
      <w:tr>
        <w:trPr/>
        <w:tc>
          <w:tcPr>
            <w:tcW w:w="2375" w:type="dxa"/>
            <w:tcBorders/>
            <w:shd w:color="auto" w:fill="auto" w:val="clear"/>
            <w:tcMar>
              <w:top w:w="57" w:type="dxa"/>
              <w:bottom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  <w:t>Объем бюджетных ассигнований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  <w:t>подпрограммы 2</w:t>
            </w:r>
          </w:p>
        </w:tc>
        <w:tc>
          <w:tcPr>
            <w:tcW w:w="7513" w:type="dxa"/>
            <w:tcBorders/>
            <w:shd w:color="auto" w:fill="auto" w:val="clear"/>
            <w:tcMar>
              <w:top w:w="57" w:type="dxa"/>
              <w:bottom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о</w:t>
            </w: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бъем бюджетных ассигнований на реализацию подпрограммы 2 за счет средств бюджета района составляет </w:t>
            </w:r>
            <w:r>
              <w:rPr>
                <w:rFonts w:eastAsia="Lucida Sans Unicode" w:cs="Mangal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  </w:t>
            </w:r>
            <w:r>
              <w:rPr>
                <w:rFonts w:eastAsia="Lucida Sans Unicode" w:cs="Times New Roman" w:ascii="Times New Roman" w:hAnsi="Times New Roman"/>
                <w:color w:val="auto"/>
                <w:kern w:val="2"/>
                <w:sz w:val="24"/>
                <w:szCs w:val="24"/>
                <w:lang w:val="ru-RU" w:eastAsia="hi-IN" w:bidi="hi-IN"/>
              </w:rPr>
              <w:t>203 763,7</w:t>
            </w: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тыс. рублей, в том числе по годам реализации: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Bookman Old Style"/>
                <w:sz w:val="24"/>
                <w:szCs w:val="24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2021 год – </w:t>
            </w: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4"/>
                <w:szCs w:val="24"/>
                <w:lang w:val="ru-RU" w:eastAsia="hi-IN" w:bidi="hi-IN"/>
              </w:rPr>
              <w:t>39 131,9</w:t>
            </w: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Bookman Old Style"/>
                <w:sz w:val="24"/>
                <w:szCs w:val="24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2022 год – </w:t>
            </w:r>
            <w:r>
              <w:rPr>
                <w:rFonts w:eastAsia="Lucida Sans Unicode" w:cs="Times New Roman" w:ascii="Times New Roman" w:hAnsi="Times New Roman"/>
                <w:color w:val="auto"/>
                <w:kern w:val="2"/>
                <w:sz w:val="24"/>
                <w:szCs w:val="24"/>
                <w:lang w:val="ru-RU" w:eastAsia="hi-IN" w:bidi="hi-IN"/>
              </w:rPr>
              <w:t>61 546,8</w:t>
            </w: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Bookman Old Style"/>
                <w:sz w:val="24"/>
                <w:szCs w:val="24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2023 год – </w:t>
            </w: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4"/>
                <w:szCs w:val="24"/>
                <w:lang w:val="ru-RU" w:eastAsia="hi-IN" w:bidi="hi-IN"/>
              </w:rPr>
              <w:t>40 802,7</w:t>
            </w: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Bookman Old Style"/>
                <w:sz w:val="24"/>
                <w:szCs w:val="24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2024 год – </w:t>
            </w:r>
            <w:r>
              <w:rPr>
                <w:rFonts w:eastAsia="Lucida Sans Unicode" w:cs="Times New Roman" w:ascii="Times New Roman" w:hAnsi="Times New Roman"/>
                <w:color w:val="auto"/>
                <w:kern w:val="2"/>
                <w:sz w:val="24"/>
                <w:szCs w:val="24"/>
                <w:lang w:val="ru-RU" w:eastAsia="hi-IN" w:bidi="hi-IN"/>
              </w:rPr>
              <w:t>39 170,5</w:t>
            </w: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2025 год – 23 111,8 тыс. рублей</w:t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  <w:t>Ожидаемые результаты реализации подпрограммы 2</w:t>
            </w:r>
          </w:p>
        </w:tc>
        <w:tc>
          <w:tcPr>
            <w:tcW w:w="75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  <w:t>увеличение количества призовых мест, занятых 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уровнях с 54 ед. в 2019 году до 64 ед. в 2025 году;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- увеличение числа спортсменов, выполнивших массовые спортивные разряды, с 79 человек  в 2019 году до 90 человек в 2025 году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eastAsia="Lucida Sans Unicode" w:cs="Bookman Old Style" w:ascii="Bookman Old Style" w:hAnsi="Bookman Old Style"/>
          <w:b/>
          <w:kern w:val="2"/>
          <w:sz w:val="24"/>
          <w:szCs w:val="24"/>
          <w:lang w:val="en-US" w:eastAsia="hi-IN" w:bidi="hi-IN"/>
        </w:rPr>
        <w:t>I</w:t>
      </w:r>
      <w:r>
        <w:rPr>
          <w:rFonts w:eastAsia="Lucida Sans Unicode" w:cs="Bookman Old Style" w:ascii="Bookman Old Style" w:hAnsi="Bookman Old Style"/>
          <w:b/>
          <w:kern w:val="2"/>
          <w:sz w:val="24"/>
          <w:szCs w:val="24"/>
          <w:lang w:eastAsia="hi-IN" w:bidi="hi-IN"/>
        </w:rPr>
        <w:t xml:space="preserve">.  Характеристика сферы реализации подпрограммы 2, </w:t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Bookman Old Style" w:hAnsi="Bookman Old Style"/>
          <w:sz w:val="24"/>
          <w:szCs w:val="24"/>
        </w:rPr>
      </w:pPr>
      <w:r>
        <w:rPr>
          <w:rFonts w:eastAsia="Lucida Sans Unicode" w:cs="Bookman Old Style" w:ascii="Bookman Old Style" w:hAnsi="Bookman Old Style"/>
          <w:b/>
          <w:kern w:val="2"/>
          <w:sz w:val="24"/>
          <w:szCs w:val="24"/>
          <w:lang w:eastAsia="hi-IN" w:bidi="hi-IN"/>
        </w:rPr>
        <w:t>описание основных проблем в указанной сфере и перспективы ее развития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Спортивная школа осуществляет свою деятельность в соответствии 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val="en-US" w:eastAsia="hi-IN" w:bidi="hi-IN"/>
        </w:rPr>
        <w:t>c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 федеральными стандартами спортивной подготовки по видам спорта. Численность обучающихся Спортивной школы в 2019-2020 годах составила  428 человек.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Благодаря улучшению материльно-технической базы Спортивной школы повышается уровень подготовки занимающихся по видам спорта для успешного участия в районных, межрайонных и региональных соревнованиях. За 2019 год увеличилось количество проведенных соревнований по различным видам спорта и количество их участников на 15%, при этом количество занятых призовых мест составило 54 единицы. </w:t>
      </w:r>
      <w:r>
        <w:rPr>
          <w:rFonts w:eastAsia="Times New Roman" w:ascii="Bookman Old Style" w:hAnsi="Bookman Old Style"/>
          <w:kern w:val="2"/>
          <w:sz w:val="24"/>
          <w:szCs w:val="24"/>
          <w:lang w:eastAsia="hi-IN" w:bidi="hi-IN"/>
        </w:rPr>
        <w:t>Число спортсменов, выполнивших массовые спортивные разряды в 2019 году, составило 79 человек.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В рамках реализации подпрограммы 2 предусматривается: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shd w:fill="FFFFFF" w:val="clear"/>
          <w:lang w:eastAsia="hi-IN" w:bidi="hi-IN"/>
        </w:rPr>
        <w:t xml:space="preserve">создание условий для реализации 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федеральных стандартов спортивной подготовки по видам спорта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shd w:fill="FFFFFF" w:val="clear"/>
          <w:lang w:eastAsia="hi-IN" w:bidi="hi-IN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highlight w:val="white"/>
          <w:lang w:eastAsia="hi-IN" w:bidi="hi-IN"/>
        </w:rPr>
        <w:t>обеспечение доступа к объектам спорта;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highlight w:val="white"/>
          <w:lang w:eastAsia="hi-IN" w:bidi="hi-IN"/>
        </w:rPr>
        <w:t>обеспечение участия спортивных сборных команд в официальных спортивных мероприятиях.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shd w:fill="FFFFFF" w:val="clear"/>
          <w:lang w:eastAsia="hi-IN" w:bidi="hi-IN"/>
        </w:rPr>
        <w:t>Трудности Спортивной школы в реализации тренировочного процесса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 в соответствии с федеральными стандартами спортивной подготовки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shd w:fill="FFFFFF" w:val="clear"/>
          <w:lang w:eastAsia="hi-IN" w:bidi="hi-IN"/>
        </w:rPr>
        <w:t xml:space="preserve"> заключаются в необходимости пополнения спортивного инвентаря и оборудования,</w:t>
      </w:r>
      <w:r>
        <w:rPr>
          <w:rFonts w:ascii="Bookman Old Style" w:hAnsi="Bookman Old Style"/>
          <w:sz w:val="24"/>
          <w:szCs w:val="24"/>
        </w:rPr>
        <w:t xml:space="preserve"> улучшения условий проведения учебно-тренировочного процесса. Для увеличения числа обучающихся, Спортивной школе необходимо повысить результативность участия спортсменов в спортивных соревнованиях, а также  увеличить  число кандидатов в сборные Вологодской области по видам спорта с целью популяризации спорта в районе.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ru-RU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>Важную роль в области развития физической культуры и спорта играет укрепление материально-технической базы,  создание необходимых условий для занятий физической культурой и спортом населения района, повышение уровня спортивного мастерства.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ru-RU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 xml:space="preserve">Увеличение потенциала развития массового спорта зависит, в том числе, и от расширения спортивной инфраструктуры района. </w:t>
      </w:r>
      <w:r>
        <w:rPr>
          <w:rFonts w:ascii="Bookman Old Style" w:hAnsi="Bookman Old Style"/>
          <w:sz w:val="24"/>
          <w:szCs w:val="24"/>
          <w:lang w:eastAsia="zh-CN"/>
        </w:rPr>
        <w:t xml:space="preserve">Уровень обеспеченности </w:t>
      </w:r>
      <w:r>
        <w:rPr>
          <w:rFonts w:ascii="Bookman Old Style" w:hAnsi="Bookman Old Style"/>
          <w:sz w:val="24"/>
          <w:szCs w:val="24"/>
        </w:rPr>
        <w:t xml:space="preserve">граждан спортивными сооружениями, исходя из единовременной пропускной способности объектов спорта Грязовецкого района, по состоянию на 1 января 2020 года составляет 64,8%. 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>В рамках доступности спортивных сооружений для занятий спортом всех категорий населения планируется строительство физкультурно-оздоровительного комплекса открытого типа  и площадки ГТО.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 xml:space="preserve"> Осознанный выбор здорового образа жизни,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 района.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 w:eastAsia="Lucida Sans Unicode" w:cs="Bookman Old Style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eastAsia="Lucida Sans Unicode" w:cs="Bookman Old Style" w:ascii="Bookman Old Style" w:hAnsi="Bookman Old Style"/>
          <w:kern w:val="2"/>
          <w:sz w:val="24"/>
          <w:szCs w:val="24"/>
          <w:lang w:eastAsia="hi-IN" w:bidi="hi-IN"/>
        </w:rPr>
        <w:tab/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val="en-US" w:eastAsia="hi-IN" w:bidi="hi-IN"/>
        </w:rPr>
        <w:t>II</w:t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>. Приоритеты в сфере реализации подпрограммы 2, цель, задача, сроки реализации подпрограммы 2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Times New Roman" w:cs="Bookman Old Style"/>
          <w:kern w:val="2"/>
          <w:sz w:val="28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8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Основными приоритетами в сфере реализации подпрограммы 2 является создание условий для  подготовки спортивных сборных команд и спортивного резерва, а также повышения доступности к объектам спорта.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Bookman Old Style" w:hAnsi="Bookman Old Style" w:eastAsia="Lucida Sans Unicode" w:cs="Mangal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Целью подпрограммы 2 является </w:t>
      </w:r>
      <w:r>
        <w:rPr>
          <w:rFonts w:eastAsia="Lucida Sans Unicode" w:cs="Mangal" w:ascii="Bookman Old Style" w:hAnsi="Bookman Old Style"/>
          <w:kern w:val="2"/>
          <w:sz w:val="24"/>
          <w:szCs w:val="24"/>
          <w:lang w:eastAsia="hi-IN" w:bidi="hi-IN"/>
        </w:rPr>
        <w:t>обеспечение спортивной подготовки в соответствии с федеральными стандартами спортивной подготовки по видам спорта, включенным во всероссийский реестр видов спорта.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  <w:t>Для достижения указанной цели необходимо решение следующей   задачи: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- </w:t>
      </w:r>
      <w:r>
        <w:rPr>
          <w:rFonts w:eastAsia="Lucida Sans Unicode" w:cs="Mangal" w:ascii="Bookman Old Style" w:hAnsi="Bookman Old Style"/>
          <w:kern w:val="2"/>
          <w:sz w:val="24"/>
          <w:szCs w:val="24"/>
          <w:lang w:eastAsia="hi-IN" w:bidi="hi-IN"/>
        </w:rPr>
        <w:t>повышение результативности системы подготовки спортивного резерва</w:t>
      </w:r>
      <w:r>
        <w:rPr>
          <w:rFonts w:eastAsia="Lucida Sans Unicode" w:cs="Bookman Old Style" w:ascii="Bookman Old Style" w:hAnsi="Bookman Old Style"/>
          <w:kern w:val="2"/>
          <w:sz w:val="24"/>
          <w:szCs w:val="24"/>
          <w:lang w:eastAsia="hi-IN" w:bidi="hi-IN"/>
        </w:rPr>
        <w:t>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  <w:t>Сроки реализации подпрограммы 2:   2021-2025 годы.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 w:eastAsia="Lucida Sans Unicode" w:cs="Bookman Old Style"/>
          <w:b/>
          <w:b/>
          <w:color w:val="008000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b/>
          <w:color w:val="008000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val="en-US" w:eastAsia="hi-IN" w:bidi="hi-IN"/>
        </w:rPr>
        <w:t>II</w:t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shd w:fill="auto" w:val="clear"/>
          <w:lang w:val="en-US" w:eastAsia="hi-IN" w:bidi="hi-IN"/>
        </w:rPr>
        <w:t>I</w:t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shd w:fill="auto" w:val="clear"/>
          <w:lang w:eastAsia="hi-IN" w:bidi="hi-IN"/>
        </w:rPr>
        <w:t>. Характеристика основных мероприятий подпрограммы 2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kern w:val="2"/>
          <w:sz w:val="24"/>
          <w:szCs w:val="24"/>
          <w:lang w:eastAsia="hi-IN" w:bidi="hi-IN"/>
        </w:rPr>
        <w:t>Для достижения цели и решения задачи подпрограммы 2 предусматривается реализация основных мероприятий.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/>
          <w:i/>
          <w:i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i/>
          <w:kern w:val="2"/>
          <w:sz w:val="24"/>
          <w:szCs w:val="24"/>
          <w:lang w:eastAsia="hi-IN" w:bidi="hi-IN"/>
        </w:rPr>
        <w:tab/>
      </w:r>
      <w:r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  <w:t>1. Основное мероприятие 2.1. «Подготовка спортивного резерва» (далее – основное мероприятие 2.1).</w:t>
      </w:r>
    </w:p>
    <w:p>
      <w:pPr>
        <w:pStyle w:val="Normal"/>
        <w:widowControl w:val="false"/>
        <w:tabs>
          <w:tab w:val="clear" w:pos="708"/>
          <w:tab w:val="left" w:pos="2555" w:leader="none"/>
        </w:tabs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Цель основного мероприятия 2.1. – совершенствование системы подготовки спортивного резерва.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b w:val="false"/>
          <w:bCs w:val="false"/>
          <w:kern w:val="2"/>
          <w:sz w:val="24"/>
          <w:szCs w:val="24"/>
          <w:shd w:fill="auto" w:val="clear"/>
          <w:lang w:eastAsia="hi-IN" w:bidi="hi-IN"/>
        </w:rPr>
        <w:t>В рамках осуществления основного мероприятия 2.1. предусматривается выделение бюджетных средств: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1). на выполнение муниципального задания: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highlight w:val="white"/>
          <w:lang w:eastAsia="hi-IN" w:bidi="hi-IN"/>
        </w:rPr>
        <w:t>обеспечение участия спортивных сборных команд в официальных спортивных мероприятиях;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highlight w:val="white"/>
          <w:lang w:eastAsia="hi-IN" w:bidi="hi-IN"/>
        </w:rPr>
        <w:t>спортивную подготовку по олимпийским видам спорта;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highlight w:val="white"/>
          <w:lang w:eastAsia="hi-IN" w:bidi="hi-IN"/>
        </w:rPr>
        <w:t>спортивную подготовку по неолимпийским видам спорта;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спортивную подготовку по спорту слепых.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2). на иные цели: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обеспечение подготовки спортивного резерва для спортивных сборных команд Вологодской области;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приобретение автобуса для спортивной организации, реализующей программы спортивной подготовки, в соответствии с требованиями федеральных стандартов спортив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>ной подготовки по видам спорта;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hd w:fill="auto" w:val="clear"/>
        </w:rPr>
      </w:pP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Абзац </w:t>
      </w:r>
      <w:r>
        <w:rPr>
          <w:rFonts w:eastAsia="Calibri" w:ascii="Times New Roman" w:hAnsi="Times New Roman"/>
          <w:color w:val="000000"/>
          <w:sz w:val="24"/>
          <w:szCs w:val="24"/>
          <w:shd w:fill="auto" w:val="clear"/>
        </w:rPr>
        <w:t xml:space="preserve">четвертый 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>утратил силу (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en-US" w:bidi="ar-SA"/>
        </w:rPr>
        <w:t>п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>остановление администрации Грязовецкого муниципального района от  21 июня 2021 года № 284).</w:t>
      </w:r>
    </w:p>
    <w:p>
      <w:pPr>
        <w:pStyle w:val="Normal"/>
        <w:widowControl w:val="false"/>
        <w:tabs>
          <w:tab w:val="clear" w:pos="708"/>
          <w:tab w:val="left" w:pos="-851" w:leader="none"/>
        </w:tabs>
        <w:spacing w:lineRule="auto" w:line="240" w:before="0" w:after="0"/>
        <w:ind w:firstLine="709"/>
        <w:jc w:val="both"/>
        <w:rPr>
          <w:shd w:fill="auto" w:val="clear"/>
        </w:rPr>
      </w:pPr>
      <w:r>
        <w:rPr>
          <w:rFonts w:eastAsia="Times New Roman" w:cs="Bookman Old Style" w:ascii="Times New Roman" w:hAnsi="Times New Roman"/>
          <w:strike w:val="false"/>
          <w:dstrike w:val="false"/>
          <w:color w:val="000000"/>
          <w:kern w:val="2"/>
          <w:sz w:val="24"/>
          <w:szCs w:val="24"/>
          <w:shd w:fill="auto" w:val="clear"/>
          <w:lang w:val="ru-RU" w:eastAsia="ar-SA" w:bidi="ar-SA"/>
        </w:rPr>
        <w:t xml:space="preserve">Абзац </w:t>
      </w:r>
      <w:r>
        <w:rPr>
          <w:rFonts w:eastAsia="Calibri" w:cs="Bookman Old Style" w:ascii="Times New Roman" w:hAnsi="Times New Roman"/>
          <w:strike w:val="false"/>
          <w:dstrike w:val="false"/>
          <w:color w:val="000000"/>
          <w:kern w:val="2"/>
          <w:sz w:val="24"/>
          <w:szCs w:val="24"/>
          <w:shd w:fill="auto" w:val="clear"/>
          <w:lang w:val="ru-RU" w:eastAsia="ar-SA" w:bidi="ar-SA"/>
        </w:rPr>
        <w:t xml:space="preserve">четвертый </w:t>
      </w:r>
      <w:r>
        <w:rPr>
          <w:rFonts w:eastAsia="Times New Roman" w:cs="Bookman Old Style" w:ascii="Times New Roman" w:hAnsi="Times New Roman"/>
          <w:strike w:val="false"/>
          <w:dstrike w:val="false"/>
          <w:color w:val="000000"/>
          <w:kern w:val="2"/>
          <w:sz w:val="24"/>
          <w:szCs w:val="24"/>
          <w:shd w:fill="auto" w:val="clear"/>
          <w:lang w:val="ru-RU" w:eastAsia="ar-SA" w:bidi="ar-SA"/>
        </w:rPr>
        <w:t>утратил силу (</w:t>
      </w:r>
      <w:r>
        <w:rPr>
          <w:rFonts w:eastAsia="Calibri" w:cs="Times New Roman" w:ascii="Times New Roman" w:hAnsi="Times New Roman"/>
          <w:strike w:val="false"/>
          <w:dstrike w:val="false"/>
          <w:color w:val="000000"/>
          <w:kern w:val="0"/>
          <w:sz w:val="24"/>
          <w:szCs w:val="24"/>
          <w:shd w:fill="auto" w:val="clear"/>
          <w:lang w:val="ru-RU" w:eastAsia="en-US" w:bidi="ar-SA"/>
        </w:rPr>
        <w:t>п</w:t>
      </w:r>
      <w:r>
        <w:rPr>
          <w:rFonts w:eastAsia="Times New Roman" w:cs="Bookman Old Style" w:ascii="Times New Roman" w:hAnsi="Times New Roman"/>
          <w:strike w:val="false"/>
          <w:dstrike w:val="false"/>
          <w:color w:val="000000"/>
          <w:kern w:val="2"/>
          <w:sz w:val="24"/>
          <w:szCs w:val="24"/>
          <w:shd w:fill="auto" w:val="clear"/>
          <w:lang w:val="ru-RU" w:eastAsia="ar-SA" w:bidi="ar-SA"/>
        </w:rPr>
        <w:t>остановление администрации Грязовецкого муниципального района</w:t>
      </w:r>
      <w:r>
        <w:rPr>
          <w:rFonts w:eastAsia="Times New Roman" w:cs="Bookman Old Style" w:ascii="Times New Roman" w:hAnsi="Times New Roman"/>
          <w:strike w:val="false"/>
          <w:dstrike w:val="false"/>
          <w:color w:val="000000"/>
          <w:kern w:val="2"/>
          <w:sz w:val="24"/>
          <w:szCs w:val="24"/>
          <w:shd w:fill="auto" w:val="clear"/>
          <w:lang w:val="ru-RU" w:eastAsia="ar-SA" w:bidi="ar-SA"/>
        </w:rPr>
        <w:t xml:space="preserve"> от  </w:t>
      </w:r>
      <w:r>
        <w:rPr>
          <w:rFonts w:eastAsia="Times New Roman" w:cs="Bookman Old Style" w:ascii="Times New Roman" w:hAnsi="Times New Roman"/>
          <w:strike w:val="false"/>
          <w:dstrike w:val="false"/>
          <w:color w:val="000000"/>
          <w:kern w:val="2"/>
          <w:sz w:val="24"/>
          <w:szCs w:val="24"/>
          <w:shd w:fill="auto" w:val="clear"/>
          <w:lang w:val="ru-RU" w:eastAsia="ar-SA" w:bidi="ar-SA"/>
        </w:rPr>
        <w:t>06</w:t>
      </w:r>
      <w:r>
        <w:rPr>
          <w:rFonts w:eastAsia="Times New Roman" w:cs="Bookman Old Style" w:ascii="Times New Roman" w:hAnsi="Times New Roman"/>
          <w:strike w:val="false"/>
          <w:dstrike w:val="false"/>
          <w:color w:val="000000"/>
          <w:kern w:val="2"/>
          <w:sz w:val="24"/>
          <w:szCs w:val="24"/>
          <w:shd w:fill="auto" w:val="clear"/>
          <w:lang w:val="ru-RU" w:eastAsia="ar-SA" w:bidi="ar-SA"/>
        </w:rPr>
        <w:t xml:space="preserve"> декабря 2022 года №  </w:t>
      </w:r>
      <w:r>
        <w:rPr>
          <w:rFonts w:eastAsia="Times New Roman" w:cs="Bookman Old Style" w:ascii="Times New Roman" w:hAnsi="Times New Roman"/>
          <w:strike w:val="false"/>
          <w:dstrike w:val="false"/>
          <w:color w:val="000000"/>
          <w:kern w:val="2"/>
          <w:sz w:val="24"/>
          <w:szCs w:val="24"/>
          <w:shd w:fill="auto" w:val="clear"/>
          <w:lang w:val="ru-RU" w:eastAsia="ar-SA" w:bidi="ar-SA"/>
        </w:rPr>
        <w:t>668</w:t>
      </w:r>
      <w:r>
        <w:rPr>
          <w:rFonts w:eastAsia="Times New Roman" w:cs="Bookman Old Style" w:ascii="Times New Roman" w:hAnsi="Times New Roman"/>
          <w:strike w:val="false"/>
          <w:dstrike w:val="false"/>
          <w:color w:val="000000"/>
          <w:kern w:val="2"/>
          <w:sz w:val="24"/>
          <w:szCs w:val="24"/>
          <w:shd w:fill="auto" w:val="clear"/>
          <w:lang w:val="ru-RU" w:eastAsia="ar-SA" w:bidi="ar-SA"/>
        </w:rPr>
        <w:t>)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Bookman Old Style" w:hAnsi="Bookman Old Style"/>
          <w:kern w:val="2"/>
          <w:sz w:val="24"/>
          <w:szCs w:val="24"/>
          <w:shd w:fill="FFFFFF" w:val="clear"/>
          <w:lang w:eastAsia="hi-IN" w:bidi="hi-IN"/>
        </w:rPr>
      </w:pPr>
      <w:r>
        <w:rPr>
          <w:rFonts w:eastAsia="Times New Roman" w:cs="Bookman Old Style" w:ascii="Bookman Old Style" w:hAnsi="Bookman Old Style"/>
          <w:b w:val="false"/>
          <w:bCs w:val="false"/>
          <w:kern w:val="2"/>
          <w:sz w:val="24"/>
          <w:szCs w:val="24"/>
          <w:shd w:fill="auto" w:val="clear"/>
          <w:lang w:eastAsia="hi-IN" w:bidi="hi-IN"/>
        </w:rPr>
        <w:t xml:space="preserve">3). </w:t>
      </w:r>
      <w:r>
        <w:rPr>
          <w:rFonts w:eastAsia="Arial" w:cs="Bookman Old Style" w:ascii="Bookman Old Style" w:hAnsi="Bookman Old Style"/>
          <w:b w:val="false"/>
          <w:bCs w:val="false"/>
          <w:strike w:val="false"/>
          <w:dstrike w:val="false"/>
          <w:color w:val="000000"/>
          <w:kern w:val="2"/>
          <w:sz w:val="24"/>
          <w:szCs w:val="24"/>
          <w:shd w:fill="auto" w:val="clear"/>
          <w:lang w:val="ru-RU" w:eastAsia="ar-SA" w:bidi="hi-IN"/>
        </w:rPr>
        <w:t xml:space="preserve">предоставление </w:t>
      </w:r>
      <w:r>
        <w:rPr>
          <w:rFonts w:eastAsia="Times New Roman" w:cs="Bookman Old Style" w:ascii="Bookman Old Style" w:hAnsi="Bookman Old Style"/>
          <w:b w:val="false"/>
          <w:bCs w:val="false"/>
          <w:strike w:val="false"/>
          <w:dstrike w:val="false"/>
          <w:color w:val="000000"/>
          <w:kern w:val="2"/>
          <w:sz w:val="24"/>
          <w:szCs w:val="24"/>
          <w:shd w:fill="auto" w:val="clear"/>
          <w:lang w:val="ru-RU" w:eastAsia="ar-SA" w:bidi="hi-IN"/>
        </w:rPr>
        <w:t xml:space="preserve">дополнительных мер социальной поддержки по частичной оплате найма (поднайма) жилого помещения у физического лица </w:t>
      </w:r>
      <w:r>
        <w:rPr>
          <w:rFonts w:eastAsia="Times New Roman" w:cs="Bookman Old Style" w:ascii="Bookman Old Style" w:hAnsi="Bookman Old Style"/>
          <w:b w:val="false"/>
          <w:bCs w:val="false"/>
          <w:strike w:val="false"/>
          <w:dstrike w:val="false"/>
          <w:color w:val="000000"/>
          <w:kern w:val="2"/>
          <w:sz w:val="24"/>
          <w:szCs w:val="24"/>
          <w:shd w:fill="auto" w:val="clear"/>
          <w:lang w:val="ru-RU" w:eastAsia="ar-SA" w:bidi="ar-SA"/>
        </w:rPr>
        <w:t>тренерам структурного подразделения Спортивная школа БУ «Центр ФКС».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kern w:val="2"/>
          <w:sz w:val="24"/>
          <w:szCs w:val="24"/>
          <w:shd w:fill="FFFFFF" w:val="clear"/>
          <w:lang w:eastAsia="hi-IN" w:bidi="hi-IN"/>
        </w:rPr>
      </w:pPr>
      <w:r>
        <w:rPr>
          <w:rFonts w:ascii="Bookman Old Style" w:hAnsi="Bookman Old Style"/>
          <w:kern w:val="2"/>
          <w:sz w:val="24"/>
          <w:szCs w:val="24"/>
          <w:shd w:fill="FFFFFF" w:val="clear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  <w:t>2. Основное мероприятие 2.2. «Доступность к объектам спорта» (далее – основное мероприятие 2.2).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kern w:val="2"/>
          <w:sz w:val="24"/>
          <w:szCs w:val="24"/>
          <w:lang w:eastAsia="hi-IN" w:bidi="hi-IN"/>
        </w:rPr>
        <w:t>Цель основного мероприятия 2.2. – обеспечение доступа к объектам спорта.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kern w:val="2"/>
          <w:sz w:val="24"/>
          <w:szCs w:val="24"/>
          <w:lang w:eastAsia="hi-IN" w:bidi="hi-IN"/>
        </w:rPr>
        <w:t xml:space="preserve">В рамках осуществления основного мероприятия 2.2. предусматривается: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kern w:val="2"/>
          <w:sz w:val="24"/>
          <w:szCs w:val="24"/>
          <w:shd w:fill="FFFFFF" w:val="clear"/>
          <w:lang w:eastAsia="hi-IN" w:bidi="hi-IN"/>
        </w:rPr>
      </w:pPr>
      <w:r>
        <w:rPr>
          <w:rFonts w:ascii="Bookman Old Style" w:hAnsi="Bookman Old Style"/>
          <w:kern w:val="2"/>
          <w:sz w:val="24"/>
          <w:szCs w:val="24"/>
          <w:lang w:eastAsia="hi-IN" w:bidi="hi-IN"/>
        </w:rPr>
        <w:t xml:space="preserve">- выделение субсидии на выполнение муниципального задания на </w:t>
      </w:r>
      <w:r>
        <w:rPr>
          <w:rFonts w:ascii="Bookman Old Style" w:hAnsi="Bookman Old Style"/>
          <w:kern w:val="2"/>
          <w:sz w:val="24"/>
          <w:szCs w:val="24"/>
          <w:shd w:fill="FFFFFF" w:val="clear"/>
          <w:lang w:eastAsia="hi-IN" w:bidi="hi-IN"/>
        </w:rPr>
        <w:t>обеспечение доступа к объектам спорта;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sz w:val="24"/>
          <w:szCs w:val="24"/>
        </w:rPr>
        <w:t xml:space="preserve">-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выделение субсидии на выполнение муниципального задания на </w:t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проведение занятий физкультурно-спортивной направленности по месту проживания граждан.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kern w:val="2"/>
          <w:sz w:val="24"/>
          <w:szCs w:val="24"/>
          <w:lang w:eastAsia="hi-IN" w:bidi="hi-IN"/>
        </w:rPr>
        <w:t>Абзац шестой утратил силу (постановление администрации Грязовецкого муниципального района от 12 марта 2021г. № 102)</w:t>
      </w:r>
      <w:r>
        <w:rPr>
          <w:rFonts w:ascii="Bookman Old Style" w:hAnsi="Bookman Old Style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  <w:color w:val="000000"/>
          <w:kern w:val="2"/>
          <w:sz w:val="24"/>
          <w:szCs w:val="24"/>
          <w:lang w:eastAsia="hi-IN" w:bidi="hi-IN"/>
        </w:rPr>
        <w:t>В рамках осуществления основного мероприятия 2.2. также предусматривается выделение субсидии на иные цели: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cs="Bookman Old Sty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организацию и проведение на территории муниципального образования по месту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cs="Bookman Old Style"/>
        </w:rPr>
      </w:pPr>
      <w:r>
        <w:rPr>
          <w:rFonts w:ascii="Times New Roman" w:hAnsi="Times New Roman"/>
          <w:color w:val="000000"/>
          <w:sz w:val="24"/>
          <w:szCs w:val="24"/>
        </w:rPr>
        <w:t>жительства и (или) по месту отдыха организованных занятий граждан физической культурой;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cs="Bookman Old Style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 капитального ремонта конструкции покрытия здания по адресу г.Грязовец, ул. Революционная 104.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120" w:after="0"/>
        <w:ind w:left="0" w:right="0"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shd w:fill="auto" w:val="clear"/>
          <w:lang w:eastAsia="hi-IN" w:bidi="hi-IN"/>
        </w:rPr>
        <w:t>3. Основное мероприятие 2.3 «</w:t>
      </w:r>
      <w:r>
        <w:rPr>
          <w:rFonts w:eastAsia="Arial Unicode MS" w:cs="Times New Roman" w:ascii="Times New Roman" w:hAnsi="Times New Roman"/>
          <w:b/>
          <w:bCs/>
          <w:color w:val="000000"/>
          <w:kern w:val="2"/>
          <w:sz w:val="24"/>
          <w:szCs w:val="24"/>
          <w:shd w:fill="auto" w:val="clear"/>
          <w:lang w:val="ru-RU" w:eastAsia="zh-CN" w:bidi="ar-SA"/>
        </w:rPr>
        <w:t>Реализация регионального проекта «Спорт - норма жизни» (федеральный проект «Спорт - норма жизни»)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shd w:fill="auto" w:val="clear"/>
          <w:lang w:val="ru-RU" w:eastAsia="hi-IN" w:bidi="hi-IN"/>
        </w:rPr>
        <w:t xml:space="preserve">» </w:t>
      </w:r>
      <w:r>
        <w:rPr>
          <w:rStyle w:val="11"/>
          <w:rFonts w:eastAsia="Bookman Old Style"/>
          <w:b/>
          <w:bCs/>
          <w:color w:val="000000"/>
          <w:kern w:val="2"/>
          <w:sz w:val="24"/>
          <w:szCs w:val="24"/>
          <w:shd w:fill="FFFFFF" w:val="clear"/>
          <w:lang w:val="ru-RU" w:eastAsia="ru-RU" w:bidi="hi-IN"/>
        </w:rPr>
        <w:t>(далее — основное мероприятие 2.3)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shd w:fill="auto" w:val="clear"/>
          <w:lang w:val="ru-RU" w:eastAsia="hi-IN" w:bidi="hi-IN"/>
        </w:rPr>
        <w:t>.</w:t>
      </w:r>
      <w:r>
        <w:rPr>
          <w:rStyle w:val="11"/>
          <w:rFonts w:eastAsia="Bookman Old Style" w:cs="Times New Roman" w:ascii="Times New Roman" w:hAnsi="Times New Roman"/>
          <w:b/>
          <w:bCs/>
          <w:color w:val="000000"/>
          <w:kern w:val="2"/>
          <w:sz w:val="24"/>
          <w:szCs w:val="24"/>
          <w:shd w:fill="FFFFFF" w:val="clear"/>
          <w:lang w:eastAsia="ru-RU" w:bidi="hi-IN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Цель основного мероприятия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2.3</w:t>
      </w:r>
      <w:r>
        <w:rPr>
          <w:rFonts w:cs="Times New Roman" w:ascii="Times New Roman" w:hAnsi="Times New Roman"/>
          <w:color w:val="000000"/>
          <w:sz w:val="24"/>
          <w:szCs w:val="24"/>
        </w:rPr>
        <w:t>: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повысить качество жизни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zh-CN" w:bidi="ar-SA"/>
        </w:rPr>
        <w:t>населения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через физическую активность и сформировать культуру спортивной жизни. </w:t>
      </w:r>
    </w:p>
    <w:p>
      <w:pPr>
        <w:pStyle w:val="Standard"/>
        <w:spacing w:lineRule="auto" w:line="240" w:before="0" w:after="0"/>
        <w:ind w:left="0" w:right="0" w:firstLine="68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Style w:val="11"/>
          <w:rFonts w:eastAsia="Bookman Old Style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FFFFFF" w:val="clear"/>
          <w:lang w:val="ru-RU" w:eastAsia="ru-RU" w:bidi="hi-IN"/>
        </w:rPr>
        <w:t>В рамках основного мероприятия 2.3 предусматривается выделение субсидии на иные цели:</w:t>
      </w:r>
    </w:p>
    <w:p>
      <w:pPr>
        <w:pStyle w:val="Standard"/>
        <w:spacing w:lineRule="auto" w:line="240" w:before="0" w:after="0"/>
        <w:ind w:left="0" w:right="0" w:firstLine="68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Style w:val="11"/>
          <w:rFonts w:eastAsia="Bookman Old Style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FFFFFF" w:val="clear"/>
          <w:lang w:val="ru-RU" w:eastAsia="ru-RU" w:bidi="hi-IN"/>
        </w:rPr>
        <w:t xml:space="preserve">- </w:t>
      </w:r>
      <w:r>
        <w:rPr>
          <w:rStyle w:val="11"/>
          <w:rFonts w:eastAsia="Bookman Old Style"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kern w:val="2"/>
          <w:sz w:val="24"/>
          <w:szCs w:val="24"/>
          <w:u w:val="none"/>
          <w:shd w:fill="FFFFFF" w:val="clear"/>
          <w:lang w:val="ru-RU" w:eastAsia="ru-RU" w:bidi="hi-IN"/>
        </w:rPr>
        <w:t>участие в обеспечении подготовки спортивного резерва для спортивных сборных команд Вологодской области;</w:t>
      </w:r>
    </w:p>
    <w:p>
      <w:pPr>
        <w:pStyle w:val="Standard"/>
        <w:widowControl w:val="false"/>
        <w:spacing w:lineRule="auto" w:line="240" w:before="0" w:after="0"/>
        <w:ind w:left="0" w:right="0" w:firstLine="680"/>
        <w:jc w:val="both"/>
        <w:rPr>
          <w:rFonts w:ascii="Bookman Old Style" w:hAnsi="Bookman Old Style"/>
          <w:b/>
          <w:b/>
          <w:kern w:val="2"/>
          <w:sz w:val="24"/>
          <w:szCs w:val="24"/>
          <w:lang w:eastAsia="hi-IN" w:bidi="hi-IN"/>
        </w:rPr>
      </w:pPr>
      <w:r>
        <w:rPr>
          <w:rStyle w:val="11"/>
          <w:rFonts w:eastAsia="Bookman Old Style"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kern w:val="2"/>
          <w:sz w:val="24"/>
          <w:szCs w:val="24"/>
          <w:u w:val="none"/>
          <w:shd w:fill="FFFFFF" w:val="clear"/>
          <w:lang w:val="ru-RU" w:eastAsia="ru-RU" w:bidi="hi-IN"/>
        </w:rPr>
        <w:t>- оснащение объектов спортивной инфраструктуры спортивно-технологичным оборудованием.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val="en-US" w:eastAsia="hi-IN" w:bidi="hi-IN"/>
        </w:rPr>
        <w:t>IV</w:t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>. Финансовое обеспечение реализации подпрограммы 2 за счет средств бюджета района</w:t>
      </w:r>
    </w:p>
    <w:p>
      <w:pPr>
        <w:pStyle w:val="Normal"/>
        <w:widowControl w:val="false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hi-IN" w:bidi="hi-IN"/>
        </w:rPr>
        <w:t xml:space="preserve">Объем бюджетных ассигнований на реализацию подпрограммы 2 за счет средств бюджета района составляет  </w:t>
      </w:r>
      <w:r>
        <w:rPr>
          <w:rFonts w:eastAsia="Lucida Sans Unicode" w:cs="Times New Roman" w:ascii="Times New Roman" w:hAnsi="Times New Roman"/>
          <w:color w:val="auto"/>
          <w:kern w:val="2"/>
          <w:sz w:val="24"/>
          <w:szCs w:val="24"/>
          <w:lang w:val="ru-RU" w:eastAsia="hi-IN" w:bidi="hi-IN"/>
        </w:rPr>
        <w:t>203 763,7</w:t>
      </w: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hi-IN" w:bidi="hi-IN"/>
        </w:rPr>
        <w:t xml:space="preserve"> тыс. рублей, в том числе по годам реализации: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24"/>
        <w:jc w:val="left"/>
        <w:rPr>
          <w:rFonts w:cs="Bookman Old Style"/>
          <w:sz w:val="24"/>
          <w:szCs w:val="24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hi-IN" w:bidi="hi-IN"/>
        </w:rPr>
        <w:t xml:space="preserve">2021 год – </w:t>
      </w:r>
      <w:r>
        <w:rPr>
          <w:rFonts w:eastAsia="Lucida Sans Unicode" w:cs="Times New Roman" w:ascii="Times New Roman" w:hAnsi="Times New Roman"/>
          <w:color w:val="000000"/>
          <w:kern w:val="2"/>
          <w:sz w:val="24"/>
          <w:szCs w:val="24"/>
          <w:lang w:val="ru-RU" w:eastAsia="hi-IN" w:bidi="hi-IN"/>
        </w:rPr>
        <w:t>39 131,9</w:t>
      </w: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hi-IN" w:bidi="hi-IN"/>
        </w:rPr>
        <w:t xml:space="preserve"> тыс. рублей;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24"/>
        <w:jc w:val="left"/>
        <w:rPr>
          <w:rFonts w:cs="Bookman Old Style"/>
          <w:sz w:val="24"/>
          <w:szCs w:val="24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hi-IN" w:bidi="hi-IN"/>
        </w:rPr>
        <w:t xml:space="preserve">2022 год – </w:t>
      </w:r>
      <w:r>
        <w:rPr>
          <w:rFonts w:eastAsia="Lucida Sans Unicode" w:cs="Times New Roman" w:ascii="Times New Roman" w:hAnsi="Times New Roman"/>
          <w:color w:val="auto"/>
          <w:kern w:val="2"/>
          <w:sz w:val="24"/>
          <w:szCs w:val="24"/>
          <w:lang w:val="ru-RU" w:eastAsia="hi-IN" w:bidi="hi-IN"/>
        </w:rPr>
        <w:t>61 546,8</w:t>
      </w: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hi-IN" w:bidi="hi-IN"/>
        </w:rPr>
        <w:t xml:space="preserve"> тыс. рублей;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24"/>
        <w:jc w:val="left"/>
        <w:rPr>
          <w:rFonts w:cs="Bookman Old Style"/>
          <w:sz w:val="24"/>
          <w:szCs w:val="24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hi-IN" w:bidi="hi-IN"/>
        </w:rPr>
        <w:t xml:space="preserve">2023 год – </w:t>
      </w:r>
      <w:r>
        <w:rPr>
          <w:rFonts w:eastAsia="Lucida Sans Unicode" w:cs="Times New Roman" w:ascii="Times New Roman" w:hAnsi="Times New Roman"/>
          <w:color w:val="000000"/>
          <w:kern w:val="2"/>
          <w:sz w:val="24"/>
          <w:szCs w:val="24"/>
          <w:lang w:val="ru-RU" w:eastAsia="hi-IN" w:bidi="hi-IN"/>
        </w:rPr>
        <w:t>40 802,7</w:t>
      </w: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hi-IN" w:bidi="hi-IN"/>
        </w:rPr>
        <w:t xml:space="preserve"> тыс. рублей;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24"/>
        <w:jc w:val="left"/>
        <w:rPr>
          <w:rFonts w:cs="Bookman Old Style"/>
          <w:sz w:val="24"/>
          <w:szCs w:val="24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hi-IN" w:bidi="hi-IN"/>
        </w:rPr>
        <w:t xml:space="preserve">2024 год – </w:t>
      </w:r>
      <w:r>
        <w:rPr>
          <w:rFonts w:eastAsia="Lucida Sans Unicode" w:cs="Times New Roman" w:ascii="Times New Roman" w:hAnsi="Times New Roman"/>
          <w:color w:val="auto"/>
          <w:kern w:val="2"/>
          <w:sz w:val="24"/>
          <w:szCs w:val="24"/>
          <w:lang w:val="ru-RU" w:eastAsia="hi-IN" w:bidi="hi-IN"/>
        </w:rPr>
        <w:t>39 170,5</w:t>
      </w: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hi-IN" w:bidi="hi-IN"/>
        </w:rPr>
        <w:t xml:space="preserve">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hi-IN" w:bidi="hi-IN"/>
        </w:rPr>
        <w:t>2025 год – 23 111,8 тыс. рублей.</w:t>
      </w:r>
    </w:p>
    <w:p>
      <w:pPr>
        <w:pStyle w:val="Normal"/>
        <w:widowControl w:val="false"/>
        <w:spacing w:lineRule="auto" w:line="240" w:before="0" w:after="0"/>
        <w:ind w:firstLine="567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Финансовое обеспечение и перечень мероприятий подпрограммы 2 приведены в приложении 2  к подпрограмме 2.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Прогнозная (справочная) оценка расходов федерального и областного бюджетов, бюд</w:t>
        <w:softHyphen/>
        <w:t>жетов муниципальных образований района, физических и юридических лиц на реализацию цели подпрограммы 2 приведена в приложении 3 к подпрограмме 2.</w:t>
      </w:r>
    </w:p>
    <w:p>
      <w:pPr>
        <w:pStyle w:val="Normal"/>
        <w:widowControl w:val="false"/>
        <w:spacing w:lineRule="auto" w:line="240" w:before="280" w:after="280"/>
        <w:ind w:firstLine="700"/>
        <w:jc w:val="center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val="en-US" w:eastAsia="hi-IN" w:bidi="hi-IN"/>
        </w:rPr>
        <w:t>V</w:t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>. Показатели (индикаторы) достижения цели и решения задачи подпрограммы 2, прогноз конечных результатов реализации подпрограммы 2.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Сведения о показателях (индикаторах) подпрограммы 2 приведены в приложении 4 к подпрограмме 2.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Методика расчета значений целевых показателей (индикаторов) подпрограммы 2  приведена в приложении 5 к подпрограмме 2.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Основными ожидаемыми конечными результатами реализации подпрограммы 2 являются: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Lucida Sans Unicode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- увеличение количества </w:t>
      </w:r>
      <w:r>
        <w:rPr>
          <w:rFonts w:eastAsia="Lucida Sans Unicode" w:cs="Mangal" w:ascii="Bookman Old Style" w:hAnsi="Bookman Old Style"/>
          <w:kern w:val="2"/>
          <w:sz w:val="24"/>
          <w:szCs w:val="24"/>
          <w:lang w:eastAsia="hi-IN" w:bidi="hi-IN"/>
        </w:rPr>
        <w:t xml:space="preserve">призовых мест, занятых 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уровне </w:t>
      </w:r>
      <w:r>
        <w:rPr>
          <w:rFonts w:eastAsia="Lucida Sans Unicode" w:cs="Bookman Old Style" w:ascii="Bookman Old Style" w:hAnsi="Bookman Old Style"/>
          <w:kern w:val="2"/>
          <w:sz w:val="24"/>
          <w:szCs w:val="24"/>
          <w:lang w:eastAsia="hi-IN" w:bidi="hi-IN"/>
        </w:rPr>
        <w:t>с 54 в 2019 году до 64 в 2025 году;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- увеличение числа спортсменов, выполнивших массовые спортивные разряды, с 79 человек  в 2019 году до 90 человек в 2025 году.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val="en-US" w:eastAsia="hi-IN" w:bidi="hi-IN"/>
        </w:rPr>
        <w:t>VI</w:t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>. Информация о сводных показателях муниципальных заданий по годам реализации подпрограммы 2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В рамках реализации подпрограммы 2 запланировано оказание муниципальных услуг (работ) БУ «Центр ФКС».</w:t>
      </w:r>
    </w:p>
    <w:p>
      <w:pPr>
        <w:sectPr>
          <w:headerReference w:type="default" r:id="rId10"/>
          <w:footerReference w:type="default" r:id="rId11"/>
          <w:type w:val="nextPage"/>
          <w:pgSz w:w="11906" w:h="16838"/>
          <w:pgMar w:left="1560" w:right="851" w:header="709" w:top="1134" w:footer="709" w:bottom="1134" w:gutter="0"/>
          <w:pgNumType w:fmt="decimal"/>
          <w:formProt w:val="false"/>
          <w:textDirection w:val="lrTb"/>
          <w:docGrid w:type="default" w:linePitch="360" w:charSpace="12288"/>
        </w:sectPr>
        <w:pStyle w:val="Normal"/>
        <w:ind w:firstLine="709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Прогноз сводных показателей муниципального задания на оказание муниципальных услуг (выполнение работ) приведен в приложении 6 к подпрограмме 2.</w:t>
      </w:r>
    </w:p>
    <w:p>
      <w:pPr>
        <w:pStyle w:val="Normal"/>
        <w:widowControl w:val="false"/>
        <w:spacing w:lineRule="auto" w:line="240" w:before="0" w:after="0"/>
        <w:ind w:left="9072" w:hanging="0"/>
        <w:rPr>
          <w:rFonts w:ascii="Bookman Old Style" w:hAnsi="Bookman Old Style"/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 xml:space="preserve">Приложение 1 </w:t>
      </w:r>
    </w:p>
    <w:p>
      <w:pPr>
        <w:pStyle w:val="Normal"/>
        <w:widowControl w:val="false"/>
        <w:spacing w:lineRule="auto" w:line="240" w:before="0" w:after="0"/>
        <w:ind w:left="9072" w:hanging="0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к подпрограмме 2</w:t>
      </w:r>
    </w:p>
    <w:p>
      <w:pPr>
        <w:pStyle w:val="Normal"/>
        <w:widowControl w:val="false"/>
        <w:spacing w:lineRule="auto" w:line="240" w:before="0" w:after="0"/>
        <w:ind w:left="9072" w:hanging="0"/>
        <w:rPr>
          <w:rFonts w:ascii="Bookman Old Style" w:hAnsi="Bookman Old Style" w:cs="Bookman Old Style"/>
        </w:rPr>
      </w:pPr>
      <w:r>
        <w:rPr>
          <w:rFonts w:ascii="Bookman Old Style" w:hAnsi="Bookman Old Style"/>
          <w:kern w:val="2"/>
          <w:sz w:val="24"/>
          <w:szCs w:val="24"/>
          <w:lang w:eastAsia="hi-IN" w:bidi="hi-IN"/>
        </w:rPr>
        <w:t>утратило силу (постановление администрации Грязовецкого муниципального района от 12 марта 2021г. № 102)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Приложение 2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подпрограмме 2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  <w:t xml:space="preserve">Финансовое обеспечение и перечень мероприятий подпрограммы 2 за счет средств бюджета района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tbl>
      <w:tblPr>
        <w:tblW w:w="15769" w:type="dxa"/>
        <w:jc w:val="righ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1755"/>
        <w:gridCol w:w="1928"/>
        <w:gridCol w:w="1448"/>
        <w:gridCol w:w="3095"/>
        <w:gridCol w:w="1161"/>
        <w:gridCol w:w="1148"/>
        <w:gridCol w:w="1148"/>
        <w:gridCol w:w="1152"/>
        <w:gridCol w:w="1145"/>
        <w:gridCol w:w="1787"/>
      </w:tblGrid>
      <w:tr>
        <w:trPr>
          <w:tblHeader w:val="true"/>
          <w:trHeight w:val="313" w:hRule="atLeast"/>
        </w:trPr>
        <w:tc>
          <w:tcPr>
            <w:tcW w:w="1755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Статус</w:t>
            </w:r>
          </w:p>
        </w:tc>
        <w:tc>
          <w:tcPr>
            <w:tcW w:w="1928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подпрограммы,  основного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мероприятия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448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Ответственный исполнитель,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участник</w:t>
            </w:r>
          </w:p>
        </w:tc>
        <w:tc>
          <w:tcPr>
            <w:tcW w:w="3095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Источник финансового обеспечения</w:t>
            </w:r>
          </w:p>
        </w:tc>
        <w:tc>
          <w:tcPr>
            <w:tcW w:w="7541" w:type="dxa"/>
            <w:gridSpan w:val="6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Расходы (тыс. руб.)</w:t>
            </w:r>
          </w:p>
        </w:tc>
      </w:tr>
      <w:tr>
        <w:trPr>
          <w:tblHeader w:val="true"/>
        </w:trPr>
        <w:tc>
          <w:tcPr>
            <w:tcW w:w="1755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44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095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2021 год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2022 год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2023 год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2024 год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2025 год</w:t>
            </w:r>
          </w:p>
        </w:tc>
        <w:tc>
          <w:tcPr>
            <w:tcW w:w="178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итого</w:t>
            </w:r>
          </w:p>
        </w:tc>
      </w:tr>
      <w:tr>
        <w:trPr>
          <w:tblHeader w:val="true"/>
        </w:trPr>
        <w:tc>
          <w:tcPr>
            <w:tcW w:w="175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1</w:t>
            </w:r>
          </w:p>
        </w:tc>
        <w:tc>
          <w:tcPr>
            <w:tcW w:w="192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2</w:t>
            </w:r>
          </w:p>
        </w:tc>
        <w:tc>
          <w:tcPr>
            <w:tcW w:w="14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3</w:t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4</w:t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kern w:val="2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lang w:eastAsia="hi-IN" w:bidi="hi-IN"/>
              </w:rPr>
              <w:t>5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kern w:val="2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lang w:eastAsia="hi-IN" w:bidi="hi-IN"/>
              </w:rPr>
              <w:t>6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kern w:val="2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lang w:eastAsia="hi-IN" w:bidi="hi-IN"/>
              </w:rPr>
              <w:t>7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kern w:val="2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lang w:eastAsia="hi-IN" w:bidi="hi-IN"/>
              </w:rPr>
              <w:t>8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kern w:val="2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lang w:eastAsia="hi-IN" w:bidi="hi-IN"/>
              </w:rPr>
              <w:t>9</w:t>
            </w:r>
          </w:p>
        </w:tc>
        <w:tc>
          <w:tcPr>
            <w:tcW w:w="178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kern w:val="2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lang w:eastAsia="hi-IN" w:bidi="hi-IN"/>
              </w:rPr>
              <w:t>10</w:t>
            </w:r>
          </w:p>
        </w:tc>
      </w:tr>
      <w:tr>
        <w:trPr/>
        <w:tc>
          <w:tcPr>
            <w:tcW w:w="1755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-108" w:hanging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Подпрограмма 2</w:t>
            </w:r>
          </w:p>
        </w:tc>
        <w:tc>
          <w:tcPr>
            <w:tcW w:w="1928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«Спортивная подготовка»</w:t>
            </w:r>
          </w:p>
        </w:tc>
        <w:tc>
          <w:tcPr>
            <w:tcW w:w="1448" w:type="dxa"/>
            <w:vMerge w:val="restart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-31" w:hanging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итого  по подпрограм-ме 2</w:t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всего, в том числе</w:t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39 131,9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61 546,8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40 802,7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39 170,5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23 111,8</w:t>
            </w:r>
          </w:p>
        </w:tc>
        <w:tc>
          <w:tcPr>
            <w:tcW w:w="178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203 763,7</w:t>
            </w:r>
          </w:p>
        </w:tc>
      </w:tr>
      <w:tr>
        <w:trPr/>
        <w:tc>
          <w:tcPr>
            <w:tcW w:w="1755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448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35 459,7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39 034,1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37 449,1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39 170,5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23 111,8</w:t>
            </w:r>
          </w:p>
        </w:tc>
        <w:tc>
          <w:tcPr>
            <w:tcW w:w="178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174 225,2</w:t>
            </w:r>
          </w:p>
        </w:tc>
      </w:tr>
      <w:tr>
        <w:trPr/>
        <w:tc>
          <w:tcPr>
            <w:tcW w:w="1755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448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2"/>
                <w:szCs w:val="22"/>
                <w:lang w:eastAsia="hi-IN" w:bidi="hi-IN"/>
              </w:rPr>
              <w:t>1 467,3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20 011,4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134,2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8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21 612,9</w:t>
            </w:r>
          </w:p>
        </w:tc>
      </w:tr>
      <w:tr>
        <w:trPr/>
        <w:tc>
          <w:tcPr>
            <w:tcW w:w="1755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448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3 219,4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8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3 219,4</w:t>
            </w:r>
          </w:p>
        </w:tc>
      </w:tr>
      <w:tr>
        <w:trPr/>
        <w:tc>
          <w:tcPr>
            <w:tcW w:w="1755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448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2 204,9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2 501,3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8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4 706,2</w:t>
            </w:r>
          </w:p>
        </w:tc>
      </w:tr>
      <w:tr>
        <w:trPr/>
        <w:tc>
          <w:tcPr>
            <w:tcW w:w="1755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448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безвозмездные поступления от физических и юридических лиц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8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1755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448" w:type="dxa"/>
            <w:vMerge w:val="restart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i/>
                <w:i/>
                <w:strike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i/>
                <w:strike/>
                <w:kern w:val="2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всего, в том числе</w:t>
            </w:r>
          </w:p>
        </w:tc>
        <w:tc>
          <w:tcPr>
            <w:tcW w:w="1161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39 131,9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61 546,8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40 802,7</w:t>
            </w:r>
          </w:p>
        </w:tc>
        <w:tc>
          <w:tcPr>
            <w:tcW w:w="115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39 170,5</w:t>
            </w:r>
          </w:p>
        </w:tc>
        <w:tc>
          <w:tcPr>
            <w:tcW w:w="114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23 111,8</w:t>
            </w:r>
          </w:p>
        </w:tc>
        <w:tc>
          <w:tcPr>
            <w:tcW w:w="1787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203 763,7</w:t>
            </w:r>
          </w:p>
        </w:tc>
      </w:tr>
      <w:tr>
        <w:trPr/>
        <w:tc>
          <w:tcPr>
            <w:tcW w:w="1755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448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i/>
                <w:i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i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собственные доходы бюджета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161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35 459,7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39 034,1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37 449,1</w:t>
            </w:r>
          </w:p>
        </w:tc>
        <w:tc>
          <w:tcPr>
            <w:tcW w:w="115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39 170,5</w:t>
            </w:r>
          </w:p>
        </w:tc>
        <w:tc>
          <w:tcPr>
            <w:tcW w:w="114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23 111,8</w:t>
            </w:r>
          </w:p>
        </w:tc>
        <w:tc>
          <w:tcPr>
            <w:tcW w:w="178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174 225,2</w:t>
            </w:r>
          </w:p>
        </w:tc>
      </w:tr>
      <w:tr>
        <w:trPr/>
        <w:tc>
          <w:tcPr>
            <w:tcW w:w="1755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448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i/>
                <w:i/>
                <w:strike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i/>
                <w:strike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1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2"/>
                <w:szCs w:val="22"/>
                <w:lang w:eastAsia="hi-IN" w:bidi="hi-IN"/>
              </w:rPr>
              <w:t>1 467,3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20 011,4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134,2</w:t>
            </w:r>
          </w:p>
        </w:tc>
        <w:tc>
          <w:tcPr>
            <w:tcW w:w="115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8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21 612,9</w:t>
            </w:r>
          </w:p>
        </w:tc>
      </w:tr>
      <w:tr>
        <w:trPr/>
        <w:tc>
          <w:tcPr>
            <w:tcW w:w="1755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448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i/>
                <w:i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i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61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3 219,4</w:t>
            </w:r>
          </w:p>
        </w:tc>
        <w:tc>
          <w:tcPr>
            <w:tcW w:w="115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8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3 219,4</w:t>
            </w:r>
          </w:p>
        </w:tc>
      </w:tr>
      <w:tr>
        <w:trPr/>
        <w:tc>
          <w:tcPr>
            <w:tcW w:w="1755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448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i/>
                <w:i/>
                <w:strike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i/>
                <w:strike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161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2 204,9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2 501,3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8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4 706,2</w:t>
            </w:r>
          </w:p>
        </w:tc>
      </w:tr>
      <w:tr>
        <w:trPr/>
        <w:tc>
          <w:tcPr>
            <w:tcW w:w="1755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448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i/>
                <w:i/>
                <w:strike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i/>
                <w:strike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61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8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1755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Основное мероприятие 2.1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«Подготовка спортивного резерва»</w:t>
            </w:r>
          </w:p>
        </w:tc>
        <w:tc>
          <w:tcPr>
            <w:tcW w:w="1448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09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всего, в том числе</w:t>
            </w:r>
          </w:p>
        </w:tc>
        <w:tc>
          <w:tcPr>
            <w:tcW w:w="1161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24 540,2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32 173,0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30 023,0</w:t>
            </w:r>
          </w:p>
        </w:tc>
        <w:tc>
          <w:tcPr>
            <w:tcW w:w="115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31 812,8</w:t>
            </w:r>
          </w:p>
        </w:tc>
        <w:tc>
          <w:tcPr>
            <w:tcW w:w="114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19155,0</w:t>
            </w:r>
          </w:p>
        </w:tc>
        <w:tc>
          <w:tcPr>
            <w:tcW w:w="1787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137 704,0</w:t>
            </w:r>
          </w:p>
        </w:tc>
      </w:tr>
      <w:tr>
        <w:trPr/>
        <w:tc>
          <w:tcPr>
            <w:tcW w:w="1755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44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09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собственные доходы бюджета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</w:rPr>
              <w:t>2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2 963,6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30 165,7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30 023,0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31 812,8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19155,0</w:t>
            </w:r>
          </w:p>
        </w:tc>
        <w:tc>
          <w:tcPr>
            <w:tcW w:w="178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1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34 120,1</w:t>
            </w:r>
          </w:p>
        </w:tc>
      </w:tr>
      <w:tr>
        <w:trPr/>
        <w:tc>
          <w:tcPr>
            <w:tcW w:w="1755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44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1 167,3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8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1 167,3</w:t>
            </w:r>
          </w:p>
        </w:tc>
      </w:tr>
      <w:tr>
        <w:trPr/>
        <w:tc>
          <w:tcPr>
            <w:tcW w:w="1755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144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8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1755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44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409,3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2007,3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8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2416,6</w:t>
            </w:r>
          </w:p>
        </w:tc>
      </w:tr>
      <w:tr>
        <w:trPr/>
        <w:tc>
          <w:tcPr>
            <w:tcW w:w="1755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144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309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61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87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1755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Основное мероприятие 2.2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«Доступность к объектам спорта»</w:t>
            </w:r>
          </w:p>
        </w:tc>
        <w:tc>
          <w:tcPr>
            <w:tcW w:w="1448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09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всего, в том числе</w:t>
            </w:r>
          </w:p>
        </w:tc>
        <w:tc>
          <w:tcPr>
            <w:tcW w:w="1161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14 591,7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28 683,4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7 357,7</w:t>
            </w:r>
          </w:p>
        </w:tc>
        <w:tc>
          <w:tcPr>
            <w:tcW w:w="115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7 357,7</w:t>
            </w:r>
          </w:p>
        </w:tc>
        <w:tc>
          <w:tcPr>
            <w:tcW w:w="114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3956,8</w:t>
            </w:r>
          </w:p>
        </w:tc>
        <w:tc>
          <w:tcPr>
            <w:tcW w:w="1787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61 947,3</w:t>
            </w:r>
          </w:p>
        </w:tc>
      </w:tr>
      <w:tr>
        <w:trPr/>
        <w:tc>
          <w:tcPr>
            <w:tcW w:w="1755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144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309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собственные доходы бюджета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161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12 496,1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8 799,4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7 357,7</w:t>
            </w:r>
          </w:p>
        </w:tc>
        <w:tc>
          <w:tcPr>
            <w:tcW w:w="115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7 357,7</w:t>
            </w:r>
          </w:p>
        </w:tc>
        <w:tc>
          <w:tcPr>
            <w:tcW w:w="114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3956,8</w:t>
            </w:r>
          </w:p>
        </w:tc>
        <w:tc>
          <w:tcPr>
            <w:tcW w:w="178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39 967,7</w:t>
            </w:r>
          </w:p>
        </w:tc>
      </w:tr>
      <w:tr>
        <w:trPr/>
        <w:tc>
          <w:tcPr>
            <w:tcW w:w="1755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44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09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1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300,0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19 390,0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8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19 690,0</w:t>
            </w:r>
          </w:p>
        </w:tc>
      </w:tr>
      <w:tr>
        <w:trPr/>
        <w:tc>
          <w:tcPr>
            <w:tcW w:w="1755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144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309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61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8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1755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144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309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161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1795,6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494,0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8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2 289,6</w:t>
            </w:r>
          </w:p>
        </w:tc>
      </w:tr>
      <w:tr>
        <w:trPr/>
        <w:tc>
          <w:tcPr>
            <w:tcW w:w="1755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144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309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61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8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1755" w:type="dxa"/>
            <w:vMerge w:val="restart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top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Основное мероприятие 2.3</w:t>
            </w:r>
          </w:p>
        </w:tc>
        <w:tc>
          <w:tcPr>
            <w:tcW w:w="1928" w:type="dxa"/>
            <w:vMerge w:val="restart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ind w:left="0" w:right="0" w:hanging="0"/>
              <w:jc w:val="both"/>
              <w:textAlignment w:val="top"/>
              <w:rPr>
                <w:rFonts w:cs="Bookman Old Styl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  <w:t>«</w:t>
            </w:r>
            <w:r>
              <w:rPr>
                <w:rFonts w:eastAsia="Arial Unicode MS" w:cs="Times New Roman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shd w:fill="auto" w:val="clear"/>
                <w:lang w:val="ru-RU" w:eastAsia="zh-CN" w:bidi="ar-SA"/>
              </w:rPr>
              <w:t>Реализация регионального проекта «Спорт - норма жизни» (федеральный проект «Спорт - норма жизни»)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»</w:t>
            </w:r>
          </w:p>
        </w:tc>
        <w:tc>
          <w:tcPr>
            <w:tcW w:w="1448" w:type="dxa"/>
            <w:vMerge w:val="restart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0</w:t>
            </w: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690,4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3 422,0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8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4 112,4</w:t>
            </w:r>
          </w:p>
        </w:tc>
      </w:tr>
      <w:tr>
        <w:trPr/>
        <w:tc>
          <w:tcPr>
            <w:tcW w:w="1755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448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69,0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68,4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8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137,4</w:t>
            </w:r>
          </w:p>
        </w:tc>
      </w:tr>
      <w:tr>
        <w:trPr/>
        <w:tc>
          <w:tcPr>
            <w:tcW w:w="1755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448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621,4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134,2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8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755,6</w:t>
            </w:r>
          </w:p>
        </w:tc>
      </w:tr>
      <w:tr>
        <w:trPr/>
        <w:tc>
          <w:tcPr>
            <w:tcW w:w="1755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448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3219,4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87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3219,4</w:t>
            </w:r>
          </w:p>
        </w:tc>
      </w:tr>
      <w:tr>
        <w:trPr/>
        <w:tc>
          <w:tcPr>
            <w:tcW w:w="1755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448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8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1755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448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8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Приложение 3</w:t>
      </w:r>
    </w:p>
    <w:p>
      <w:pPr>
        <w:pStyle w:val="Normal"/>
        <w:widowControl w:val="false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к подпрограмме 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Прогнозная (справочная) оценка расходов федерального и областного бюджетов, бюд</w:t>
        <w:softHyphen/>
        <w:t>жетов муниципальных образований района, физических и юридических лиц на реализацию цели подпрограммы 2</w:t>
      </w:r>
    </w:p>
    <w:p>
      <w:pPr>
        <w:pStyle w:val="Normal"/>
        <w:tabs>
          <w:tab w:val="clear" w:pos="708"/>
          <w:tab w:val="left" w:pos="-1920" w:leader="none"/>
        </w:tabs>
        <w:jc w:val="center"/>
        <w:rPr>
          <w:b/>
          <w:b/>
          <w:bCs/>
          <w:color w:val="000000"/>
          <w:sz w:val="6"/>
          <w:szCs w:val="6"/>
        </w:rPr>
      </w:pPr>
      <w:r>
        <w:rPr>
          <w:b/>
          <w:bCs/>
          <w:color w:val="000000"/>
          <w:sz w:val="6"/>
          <w:szCs w:val="6"/>
        </w:rPr>
      </w:r>
    </w:p>
    <w:tbl>
      <w:tblPr>
        <w:tblW w:w="12092" w:type="dxa"/>
        <w:jc w:val="left"/>
        <w:tblInd w:w="685" w:type="dxa"/>
        <w:tblLayout w:type="fixed"/>
        <w:tblCellMar>
          <w:top w:w="57" w:type="dxa"/>
          <w:left w:w="113" w:type="dxa"/>
          <w:bottom w:w="57" w:type="dxa"/>
          <w:right w:w="103" w:type="dxa"/>
        </w:tblCellMar>
        <w:tblLook w:firstRow="1" w:noVBand="1" w:lastRow="0" w:firstColumn="1" w:lastColumn="0" w:noHBand="0" w:val="04a0"/>
      </w:tblPr>
      <w:tblGrid>
        <w:gridCol w:w="4257"/>
        <w:gridCol w:w="1878"/>
        <w:gridCol w:w="1590"/>
        <w:gridCol w:w="1427"/>
        <w:gridCol w:w="1407"/>
        <w:gridCol w:w="1532"/>
      </w:tblGrid>
      <w:tr>
        <w:trPr>
          <w:trHeight w:val="510" w:hRule="atLeast"/>
        </w:trPr>
        <w:tc>
          <w:tcPr>
            <w:tcW w:w="42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Источник финансового обеспечения</w:t>
            </w:r>
          </w:p>
        </w:tc>
        <w:tc>
          <w:tcPr>
            <w:tcW w:w="78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Оценка расходов (тыс.руб.), годы</w:t>
            </w:r>
          </w:p>
        </w:tc>
      </w:tr>
      <w:tr>
        <w:trPr>
          <w:trHeight w:val="315" w:hRule="atLeast"/>
        </w:trPr>
        <w:tc>
          <w:tcPr>
            <w:tcW w:w="42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2021 год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2022 год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2023 год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2024  год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2025 год</w:t>
            </w:r>
          </w:p>
        </w:tc>
      </w:tr>
      <w:tr>
        <w:trPr>
          <w:trHeight w:val="315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62,73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71,69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76,17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80,65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85,13</w:t>
            </w:r>
          </w:p>
        </w:tc>
      </w:tr>
      <w:tr>
        <w:trPr>
          <w:trHeight w:val="315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в том числе: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</w:r>
          </w:p>
        </w:tc>
      </w:tr>
      <w:tr>
        <w:trPr>
          <w:trHeight w:val="366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3"/>
              <w:widowControl w:val="false"/>
              <w:suppressAutoHyphens w:val="false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/>
              </w:rPr>
              <w:t>федеральный бюджет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>
        <w:trPr>
          <w:trHeight w:val="366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3"/>
              <w:widowControl w:val="false"/>
              <w:suppressAutoHyphens w:val="false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>
        <w:trPr>
          <w:trHeight w:val="366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3"/>
              <w:widowControl w:val="false"/>
              <w:suppressAutoHyphens w:val="false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/>
              </w:rPr>
              <w:t>бюджеты муниципальных об</w:t>
              <w:softHyphen/>
              <w:t>разований района (в разрезе МО)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>
        <w:trPr>
          <w:trHeight w:val="366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3"/>
              <w:widowControl w:val="false"/>
              <w:suppressAutoHyphens w:val="false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/>
              </w:rPr>
              <w:t>физические и юридические лица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62,73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71,69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76,17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80,65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85,13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 xml:space="preserve">Приложение 4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к подпрограмме 2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  <w:t xml:space="preserve">Сведения о показателях (индикаторах) подпрограммы 2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tbl>
      <w:tblPr>
        <w:tblW w:w="5000" w:type="pct"/>
        <w:jc w:val="left"/>
        <w:tblInd w:w="-43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553"/>
        <w:gridCol w:w="2136"/>
        <w:gridCol w:w="3530"/>
        <w:gridCol w:w="816"/>
        <w:gridCol w:w="1087"/>
        <w:gridCol w:w="1227"/>
        <w:gridCol w:w="1079"/>
        <w:gridCol w:w="1087"/>
        <w:gridCol w:w="1189"/>
        <w:gridCol w:w="984"/>
        <w:gridCol w:w="880"/>
      </w:tblGrid>
      <w:tr>
        <w:trPr/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 xml:space="preserve">N </w:t>
              <w:br/>
              <w:t>п/п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>Задачи, направленные</w:t>
              <w:br/>
              <w:t>на достижение цели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 xml:space="preserve">Наименование </w:t>
              <w:br/>
              <w:t>показателя (индикатора)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>Ед. измерения</w:t>
            </w:r>
          </w:p>
        </w:tc>
        <w:tc>
          <w:tcPr>
            <w:tcW w:w="7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cs="Bookman Old Style" w:ascii="Bookman Old Style" w:hAnsi="Bookman Old Style"/>
                <w:szCs w:val="20"/>
              </w:rPr>
              <w:t>Значение показателя (индикатора)</w:t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cs="Bookman Old Style" w:ascii="Bookman Old Style" w:hAnsi="Bookman Old Style"/>
                <w:szCs w:val="20"/>
              </w:rPr>
            </w:r>
          </w:p>
        </w:tc>
        <w:tc>
          <w:tcPr>
            <w:tcW w:w="2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cs="Bookman Old Style" w:ascii="Bookman Old Style" w:hAnsi="Bookman Old Style"/>
                <w:szCs w:val="20"/>
              </w:rPr>
            </w:r>
          </w:p>
        </w:tc>
        <w:tc>
          <w:tcPr>
            <w:tcW w:w="3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cs="Bookman Old Style" w:ascii="Bookman Old Style" w:hAnsi="Bookman Old Style"/>
                <w:szCs w:val="20"/>
              </w:rPr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cs="Bookman Old Style" w:ascii="Bookman Old Style" w:hAnsi="Bookman Old Style"/>
                <w:szCs w:val="20"/>
              </w:rPr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cs="Bookman Old Style" w:ascii="Bookman Old Style" w:hAnsi="Bookman Old Style"/>
                <w:szCs w:val="20"/>
              </w:rPr>
              <w:t>2019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>2020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>2021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>2022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>2023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>2024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cs="Bookman Old Style" w:ascii="Bookman Old Style" w:hAnsi="Bookman Old Style"/>
                <w:szCs w:val="20"/>
              </w:rPr>
              <w:t>2025</w:t>
            </w:r>
          </w:p>
        </w:tc>
      </w:tr>
      <w:tr>
        <w:trPr/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>1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>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>3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>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>5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>6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>7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>8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>9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/>
              <w:t>10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cs="Bookman Old Style" w:ascii="Bookman Old Style" w:hAnsi="Bookman Old Style"/>
                <w:szCs w:val="20"/>
              </w:rPr>
              <w:t>11</w:t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</w:rPr>
              <w:t>1.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Mangal" w:ascii="Bookman Old Style" w:hAnsi="Bookman Old Style"/>
                <w:kern w:val="2"/>
                <w:lang w:eastAsia="hi-IN" w:bidi="hi-IN"/>
              </w:rPr>
              <w:t>Повышение  результативности системы подготовки спортивного резерва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Mangal" w:ascii="Bookman Old Style" w:hAnsi="Bookman Old Style"/>
                <w:kern w:val="2"/>
                <w:lang w:eastAsia="hi-IN" w:bidi="hi-IN"/>
              </w:rPr>
              <w:t>количество призовых мест, занятых 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ед.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54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57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59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62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63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64</w:t>
            </w:r>
          </w:p>
        </w:tc>
      </w:tr>
      <w:tr>
        <w:trPr/>
        <w:tc>
          <w:tcPr>
            <w:tcW w:w="55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21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число спортсменов, выполнивших массовые спортивные разряды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</w:rPr>
              <w:t>человек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79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Calibri" w:cs="Bookman Old Style"/>
                <w:color w:val="000000"/>
              </w:rPr>
            </w:pPr>
            <w:r>
              <w:rPr>
                <w:rFonts w:eastAsia="Calibri" w:cs="Bookman Old Style" w:ascii="Bookman Old Style" w:hAnsi="Bookman Old Style"/>
                <w:color w:val="000000"/>
              </w:rPr>
              <w:t>64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90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Приложение 5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к подпрограмме 2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b/>
          <w:bCs/>
          <w:kern w:val="2"/>
          <w:sz w:val="24"/>
          <w:szCs w:val="24"/>
          <w:lang w:eastAsia="hi-IN" w:bidi="hi-IN"/>
        </w:rPr>
        <w:t>Методика расчета значений показателей (индикаторов)  подпрограммы 2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Bookman Old Style" w:hAnsi="Bookman Old Style" w:eastAsia="Lucida Sans Unicode" w:cs="Bookman Old Style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kern w:val="2"/>
          <w:sz w:val="24"/>
          <w:szCs w:val="24"/>
          <w:lang w:eastAsia="hi-IN" w:bidi="hi-IN"/>
        </w:rPr>
      </w:r>
    </w:p>
    <w:tbl>
      <w:tblPr>
        <w:tblW w:w="14816" w:type="dxa"/>
        <w:jc w:val="left"/>
        <w:tblInd w:w="-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5"/>
        <w:gridCol w:w="3156"/>
        <w:gridCol w:w="2354"/>
        <w:gridCol w:w="1661"/>
        <w:gridCol w:w="3966"/>
        <w:gridCol w:w="3043"/>
      </w:tblGrid>
      <w:tr>
        <w:trPr/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 xml:space="preserve">N </w:t>
              <w:br/>
              <w:t>п/п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Обозначение и наимено</w:t>
              <w:softHyphen/>
              <w:t>вание показателя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(индикатора)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Формула рас</w:t>
              <w:softHyphen/>
              <w:t>чета</w:t>
            </w:r>
          </w:p>
        </w:tc>
        <w:tc>
          <w:tcPr>
            <w:tcW w:w="8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Исходные данные для расчета значений показателя</w:t>
            </w:r>
          </w:p>
        </w:tc>
      </w:tr>
      <w:tr>
        <w:trPr/>
        <w:tc>
          <w:tcPr>
            <w:tcW w:w="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1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2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Обозначение переменной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Наименование переменной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Источник исходных данных</w:t>
            </w:r>
          </w:p>
        </w:tc>
      </w:tr>
      <w:tr>
        <w:trPr/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4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6</w:t>
            </w:r>
          </w:p>
        </w:tc>
      </w:tr>
      <w:tr>
        <w:trPr>
          <w:trHeight w:val="2212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1.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Кп</w:t>
            </w:r>
            <w:r>
              <w:rPr>
                <w:rFonts w:eastAsia="Lucida Sans Unicode" w:cs="Mangal" w:ascii="Bookman Old Style" w:hAnsi="Bookman Old Style"/>
                <w:kern w:val="2"/>
                <w:lang w:eastAsia="hi-IN" w:bidi="hi-IN"/>
              </w:rPr>
              <w:t xml:space="preserve"> - количество призовых мест, занятых 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уровне, ед.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Кп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Кп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Mangal" w:ascii="Bookman Old Style" w:hAnsi="Bookman Old Style"/>
                <w:kern w:val="2"/>
                <w:lang w:eastAsia="hi-IN" w:bidi="hi-IN"/>
              </w:rPr>
              <w:t>количество призовых мест, занятых 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уровне в отчетном году</w:t>
            </w:r>
            <w:r>
              <w:rPr>
                <w:rFonts w:eastAsia="Times New Roman" w:cs="Bookman Old Style" w:ascii="Bookman Old Style" w:hAnsi="Bookman Old Style"/>
                <w:kern w:val="2"/>
                <w:lang w:eastAsia="hi-IN" w:bidi="hi-IN"/>
              </w:rPr>
              <w:t>, ед.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 xml:space="preserve">информация </w:t>
            </w: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БУ «Центр ФКС», копии протоколов соревнований, грамот и дипломов, подтверждающих призовые места</w:t>
            </w:r>
          </w:p>
        </w:tc>
      </w:tr>
      <w:tr>
        <w:trPr>
          <w:trHeight w:val="338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05" w:leader="none"/>
              </w:tabs>
              <w:snapToGrid w:val="false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2.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lang w:eastAsia="hi-IN" w:bidi="hi-IN"/>
              </w:rPr>
              <w:t>Краз - число спортсменов, выполнивших массовые спортивные разряды, человек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lang w:eastAsia="hi-IN" w:bidi="hi-IN"/>
              </w:rPr>
              <w:t>Краз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lang w:eastAsia="hi-IN" w:bidi="hi-IN"/>
              </w:rPr>
              <w:t>Краз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lang w:eastAsia="hi-IN" w:bidi="hi-IN"/>
              </w:rPr>
              <w:t>число спортсменов, выполнивших массовые спортивные разряды в отчетном году, человек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форма ежегодного Федерального  статистического наблюдения 1-ФК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(свод)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Приложение 6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к подпрограмме 2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Bookman Old Style" w:hAnsi="Bookman Old Style" w:cs="Bookman Old Style"/>
          <w:b/>
          <w:b/>
          <w:kern w:val="2"/>
          <w:sz w:val="24"/>
          <w:szCs w:val="24"/>
          <w:shd w:fill="auto" w:val="clear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shd w:fill="auto" w:val="clear"/>
          <w:lang w:eastAsia="hi-IN" w:bidi="hi-IN"/>
        </w:rPr>
        <w:t>Прогноз сводных показателей муниципального задания на оказание муниципальных услуг (выполнение работ) бюджетным учреждением района по подпрограмме 2</w:t>
      </w:r>
    </w:p>
    <w:tbl>
      <w:tblPr>
        <w:tblW w:w="152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6"/>
        <w:gridCol w:w="1093"/>
        <w:gridCol w:w="1032"/>
        <w:gridCol w:w="952"/>
        <w:gridCol w:w="972"/>
        <w:gridCol w:w="961"/>
        <w:gridCol w:w="965"/>
        <w:gridCol w:w="1020"/>
        <w:gridCol w:w="980"/>
        <w:gridCol w:w="1203"/>
        <w:gridCol w:w="1610"/>
      </w:tblGrid>
      <w:tr>
        <w:trPr/>
        <w:tc>
          <w:tcPr>
            <w:tcW w:w="4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hd w:fill="auto" w:val="clear"/>
                <w:lang w:eastAsia="hi-IN" w:bidi="hi-IN"/>
              </w:rPr>
              <w:t>Наименование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hd w:fill="auto" w:val="clear"/>
                <w:lang w:eastAsia="hi-IN" w:bidi="hi-IN"/>
              </w:rPr>
              <w:t>Значение показателя объема услуги (работы)</w:t>
            </w:r>
          </w:p>
        </w:tc>
        <w:tc>
          <w:tcPr>
            <w:tcW w:w="5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hd w:fill="auto" w:val="clear"/>
                <w:lang w:eastAsia="hi-IN" w:bidi="hi-IN"/>
              </w:rPr>
              <w:t>Расходы бюджета района на оказание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hd w:fill="auto" w:val="clear"/>
                <w:lang w:eastAsia="hi-IN" w:bidi="hi-IN"/>
              </w:rPr>
              <w:t>муниципальной услуги (работы), тыс. руб.</w:t>
            </w:r>
          </w:p>
        </w:tc>
      </w:tr>
      <w:tr>
        <w:trPr/>
        <w:tc>
          <w:tcPr>
            <w:tcW w:w="4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hd w:fill="auto" w:val="clear"/>
                <w:lang w:eastAsia="hi-IN" w:bidi="hi-IN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1"/>
                <w:shd w:fill="auto" w:val="clear"/>
                <w:lang w:eastAsia="hi-IN" w:bidi="hi-IN"/>
              </w:rPr>
              <w:t>2021год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1"/>
                <w:shd w:fill="auto" w:val="clear"/>
                <w:lang w:eastAsia="hi-IN" w:bidi="hi-IN"/>
              </w:rPr>
              <w:t>2022год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1"/>
                <w:shd w:fill="auto" w:val="clear"/>
                <w:lang w:eastAsia="hi-IN" w:bidi="hi-IN"/>
              </w:rPr>
              <w:t>2023год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1"/>
                <w:shd w:fill="auto" w:val="clear"/>
                <w:lang w:eastAsia="hi-IN" w:bidi="hi-IN"/>
              </w:rPr>
              <w:t>2024год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1"/>
                <w:shd w:fill="auto" w:val="clear"/>
                <w:lang w:eastAsia="hi-IN" w:bidi="hi-IN"/>
              </w:rPr>
              <w:t>2025год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1"/>
                <w:shd w:fill="auto" w:val="clear"/>
                <w:lang w:eastAsia="hi-IN" w:bidi="hi-IN"/>
              </w:rPr>
              <w:t>2021год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1"/>
                <w:shd w:fill="auto" w:val="clear"/>
                <w:lang w:eastAsia="hi-IN" w:bidi="hi-IN"/>
              </w:rPr>
              <w:t>2022год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1"/>
                <w:shd w:fill="auto" w:val="clear"/>
                <w:lang w:eastAsia="hi-IN" w:bidi="hi-IN"/>
              </w:rPr>
              <w:t>2023год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1"/>
                <w:shd w:fill="auto" w:val="clear"/>
                <w:lang w:eastAsia="hi-IN" w:bidi="hi-IN"/>
              </w:rPr>
              <w:t>2024год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1"/>
                <w:shd w:fill="auto" w:val="clear"/>
                <w:lang w:eastAsia="hi-IN" w:bidi="hi-IN"/>
              </w:rPr>
              <w:t>2025год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hd w:fill="auto" w:val="clear"/>
                <w:lang w:eastAsia="hi-IN" w:bidi="hi-IN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hd w:fill="auto" w:val="clear"/>
                <w:lang w:eastAsia="hi-IN" w:bidi="hi-IN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hd w:fill="auto" w:val="clear"/>
                <w:lang w:eastAsia="hi-IN" w:bidi="hi-IN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hd w:fill="auto" w:val="clear"/>
                <w:lang w:eastAsia="hi-IN" w:bidi="hi-IN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hd w:fill="auto" w:val="clear"/>
                <w:lang w:eastAsia="hi-IN" w:bidi="hi-IN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hd w:fill="auto" w:val="clear"/>
                <w:lang w:eastAsia="hi-IN" w:bidi="hi-IN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hd w:fill="auto" w:val="clear"/>
                <w:lang w:eastAsia="hi-IN" w:bidi="hi-IN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hd w:fill="auto" w:val="clear"/>
                <w:lang w:eastAsia="hi-IN" w:bidi="hi-IN"/>
              </w:rPr>
              <w:t>11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Наименование услуги (работы) и ее содержание: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hd w:fill="auto" w:val="clear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shd w:fill="auto" w:val="clear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kern w:val="2"/>
                <w:shd w:fill="auto" w:val="clear"/>
                <w:lang w:eastAsia="hi-IN" w:bidi="hi-IN"/>
              </w:rPr>
              <w:t>Баскетбол</w:t>
            </w:r>
            <w:r>
              <w:rPr>
                <w:rFonts w:cs="Times New Roman" w:ascii="Times New Roman" w:hAnsi="Times New Roman"/>
                <w:kern w:val="2"/>
                <w:shd w:fill="auto" w:val="clear"/>
                <w:lang w:eastAsia="hi-IN" w:bidi="hi-IN"/>
              </w:rPr>
              <w:t xml:space="preserve"> </w:t>
            </w:r>
            <w:r>
              <w:rPr>
                <w:rFonts w:cs="Times New Roman" w:ascii="Times New Roman" w:hAnsi="Times New Roman"/>
                <w:i/>
                <w:kern w:val="2"/>
                <w:shd w:fill="auto" w:val="clear"/>
                <w:lang w:eastAsia="hi-IN" w:bidi="hi-IN"/>
              </w:rPr>
              <w:t>(этап начальной подготовки)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Показатель объема услуги (работы), ед. измерения: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подготовку на этапе начальной подготовки, чел.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26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35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623,0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840,7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814,6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795,3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476,5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Наименование услуги (работы) и ее содержание: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hd w:fill="auto" w:val="clear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shd w:fill="auto" w:val="clear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kern w:val="2"/>
                <w:shd w:fill="auto" w:val="clear"/>
                <w:lang w:eastAsia="hi-IN" w:bidi="hi-IN"/>
              </w:rPr>
              <w:t>Баскетбол</w:t>
            </w:r>
            <w:r>
              <w:rPr>
                <w:rFonts w:cs="Times New Roman" w:ascii="Times New Roman" w:hAnsi="Times New Roman"/>
                <w:kern w:val="2"/>
                <w:shd w:fill="auto" w:val="clear"/>
                <w:lang w:eastAsia="hi-IN" w:bidi="hi-IN"/>
              </w:rPr>
              <w:t xml:space="preserve"> </w:t>
            </w:r>
            <w:r>
              <w:rPr>
                <w:rFonts w:cs="Times New Roman" w:ascii="Times New Roman" w:hAnsi="Times New Roman"/>
                <w:i/>
                <w:kern w:val="2"/>
                <w:shd w:fill="auto" w:val="clear"/>
                <w:lang w:eastAsia="hi-IN" w:bidi="hi-IN"/>
              </w:rPr>
              <w:t>(тренировочный этап)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Показатель объема услуги (работы), ед. измерения: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подготовку на тренировочном этапе, чел.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14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shd w:fill="auto" w:val="clear"/>
                <w:lang w:val="ru-RU" w:eastAsia="hi-IN" w:bidi="hi-IN"/>
              </w:rPr>
              <w:t>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shd w:fill="auto" w:val="clear"/>
                <w:lang w:val="ru-RU" w:eastAsia="hi-IN" w:bidi="hi-IN"/>
              </w:rPr>
              <w:t>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hd w:fill="auto" w:val="clear"/>
                <w:lang w:eastAsia="hi-IN" w:bidi="hi-IN"/>
              </w:rPr>
              <w:t>27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1135,0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980,8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954,8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12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54,8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1232,8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Наименование услуги (работы) и ее содержание: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hd w:fill="auto" w:val="clear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shd w:fill="auto" w:val="clear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i/>
                <w:kern w:val="2"/>
                <w:shd w:fill="auto" w:val="clear"/>
                <w:lang w:eastAsia="hi-IN" w:bidi="hi-IN"/>
              </w:rPr>
              <w:t>Биатлон (этап начальной подготовки)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Показатель объема услуги (работы), ед. измерения: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подготовку на этапе начальной подготовки, чел.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50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42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36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0" w:right="-153" w:hanging="0"/>
              <w:rPr>
                <w:rFonts w:cs="Bookman Old Styl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3051</w:t>
            </w:r>
            <w:r>
              <w:rPr>
                <w:rFonts w:cs="Times New Roman" w:ascii="Times New Roman" w:hAnsi="Times New Roman"/>
                <w:shd w:fill="auto" w:val="clear"/>
              </w:rPr>
              <w:t>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1442,4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1721,4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1680,6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763,1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Наименование услуги (работы) и ее содержание: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hd w:fill="auto" w:val="clear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shd w:fill="auto" w:val="clear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i/>
                <w:kern w:val="2"/>
                <w:shd w:fill="auto" w:val="clear"/>
                <w:lang w:eastAsia="hi-IN" w:bidi="hi-IN"/>
              </w:rPr>
              <w:t>Биатлон (тренировочный этап)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Показатель объема услуги (работы), ед. измерения: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подготовку на тренировочном этапе, чел.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Основное мероприятие 2.1. «Подго-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46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1135,0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2791,8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2132,9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3532,9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1232,8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Наименование услуги (работы) и ее содержание: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hd w:fill="auto" w:val="clear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shd w:fill="auto" w:val="clear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i/>
                <w:kern w:val="2"/>
                <w:shd w:fill="auto" w:val="clear"/>
                <w:lang w:eastAsia="hi-IN" w:bidi="hi-IN"/>
              </w:rPr>
              <w:t>Бокс(этап начальной подготовки)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Показатель объема услуги (работы), ед. измерения: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подготовку на этапе начальной подготовки, чел.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24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34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1246,0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1488,1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1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630,7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553,3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1351,8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Наименование услуги (работы) и ее содержание: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hd w:fill="auto" w:val="clear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shd w:fill="auto" w:val="clear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kern w:val="2"/>
                <w:shd w:fill="auto" w:val="clear"/>
                <w:lang w:eastAsia="hi-IN" w:bidi="hi-IN"/>
              </w:rPr>
              <w:t>Бокс</w:t>
            </w:r>
            <w:r>
              <w:rPr>
                <w:rFonts w:cs="Times New Roman" w:ascii="Times New Roman" w:hAnsi="Times New Roman"/>
                <w:kern w:val="2"/>
                <w:shd w:fill="auto" w:val="clear"/>
                <w:lang w:eastAsia="hi-IN" w:bidi="hi-IN"/>
              </w:rPr>
              <w:t xml:space="preserve"> </w:t>
            </w:r>
            <w:r>
              <w:rPr>
                <w:rFonts w:cs="Times New Roman" w:ascii="Times New Roman" w:hAnsi="Times New Roman"/>
                <w:i/>
                <w:kern w:val="2"/>
                <w:shd w:fill="auto" w:val="clear"/>
                <w:lang w:eastAsia="hi-IN" w:bidi="hi-IN"/>
              </w:rPr>
              <w:t>(тренировочный этап)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Показатель объема услуги (работы), ед. измерения: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подготовку на тренировочном этапе, чел.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16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257,0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801,5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781,3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781,3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278,4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Наименование услуги (работы) и ее содержание: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hd w:fill="auto" w:val="clear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shd w:fill="auto" w:val="clear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i/>
                <w:kern w:val="2"/>
                <w:shd w:fill="auto" w:val="clear"/>
                <w:lang w:eastAsia="hi-IN" w:bidi="hi-IN"/>
              </w:rPr>
              <w:t>Волейбол (этап начальной подготовки)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Показатель объема услуги (работы), ед. измерения: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подготовку на этапе начальной подготовки, чел.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30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30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732,0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932,8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906,8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906,8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795,0</w:t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Наименование услуги (работы) и ее содержание:</w:t>
            </w:r>
          </w:p>
        </w:tc>
        <w:tc>
          <w:tcPr>
            <w:tcW w:w="107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hd w:fill="auto" w:val="clear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shd w:fill="auto" w:val="clear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kern w:val="2"/>
                <w:shd w:fill="auto" w:val="clear"/>
                <w:lang w:eastAsia="hi-IN" w:bidi="hi-IN"/>
              </w:rPr>
              <w:t>Волейбол</w:t>
            </w:r>
            <w:r>
              <w:rPr>
                <w:rFonts w:cs="Times New Roman" w:ascii="Times New Roman" w:hAnsi="Times New Roman"/>
                <w:kern w:val="2"/>
                <w:shd w:fill="auto" w:val="clear"/>
                <w:lang w:eastAsia="hi-IN" w:bidi="hi-IN"/>
              </w:rPr>
              <w:t xml:space="preserve"> </w:t>
            </w:r>
            <w:r>
              <w:rPr>
                <w:rFonts w:cs="Times New Roman" w:ascii="Times New Roman" w:hAnsi="Times New Roman"/>
                <w:i/>
                <w:kern w:val="2"/>
                <w:shd w:fill="auto" w:val="clear"/>
                <w:lang w:eastAsia="hi-IN" w:bidi="hi-IN"/>
              </w:rPr>
              <w:t>(тренировочный этап)</w:t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Показатель объема услуги (работы), ед. измерения:</w:t>
            </w:r>
          </w:p>
        </w:tc>
        <w:tc>
          <w:tcPr>
            <w:tcW w:w="107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подготовку на тренировочном этапе, чел.</w:t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7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0,0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796,9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0,0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0,0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0,0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Наименование услуги (работы) и ее содержание: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hd w:fill="auto" w:val="clear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shd w:fill="auto" w:val="clear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i/>
                <w:kern w:val="2"/>
                <w:shd w:fill="auto" w:val="clear"/>
                <w:lang w:eastAsia="hi-IN" w:bidi="hi-IN"/>
              </w:rPr>
              <w:t>Футбол (этап начальной подготовки)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Показатель объема услуги (работы), ед. измерения: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подготовку на этапе начальной подготовки, чел.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135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114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91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2893,0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3900,7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4159,5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3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95,7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3141,5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Наименование услуги (работы) и ее содержание: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hd w:fill="auto" w:val="clear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shd w:fill="auto" w:val="clear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i/>
                <w:kern w:val="2"/>
                <w:shd w:fill="auto" w:val="clear"/>
                <w:lang w:eastAsia="hi-IN" w:bidi="hi-IN"/>
              </w:rPr>
              <w:t>Футбол (тренировочный этап)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Показатель объема услуги (работы), ед. измерения: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подготовку на тренировочном этапе, чел.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62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71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106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134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68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3040,9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4659,0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4589,6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4603,3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3300,9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Наименование услуги (работы) и ее содержание: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hd w:fill="auto" w:val="clear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shd w:fill="auto" w:val="clear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i/>
                <w:kern w:val="2"/>
                <w:shd w:fill="auto" w:val="clear"/>
                <w:lang w:eastAsia="hi-IN" w:bidi="hi-IN"/>
              </w:rPr>
              <w:t>Хоккей (этап начальной подготовки)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Показатель объема услуги (работы), ед. измерения: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подготовку на этапе начальной подготовки, чел.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42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28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134,7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1858,1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1813,6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1813,6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0,0</w:t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Наименование услуги (работы) и ее содержание:</w:t>
            </w:r>
          </w:p>
        </w:tc>
        <w:tc>
          <w:tcPr>
            <w:tcW w:w="107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hd w:fill="auto" w:val="clear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shd w:fill="auto" w:val="clear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i/>
                <w:kern w:val="2"/>
                <w:shd w:fill="auto" w:val="clear"/>
                <w:lang w:eastAsia="hi-IN" w:bidi="hi-IN"/>
              </w:rPr>
              <w:t>Хоккей (тренировочный этап)</w:t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Показатель объема услуги (работы), ед. измерения:</w:t>
            </w:r>
          </w:p>
        </w:tc>
        <w:tc>
          <w:tcPr>
            <w:tcW w:w="107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подготовку на тренировочном этапе, чел.</w:t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5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5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27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16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731,9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971,9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948,1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1441,1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685,3</w:t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Наименование услуги (работы) и ее содержание:</w:t>
            </w:r>
          </w:p>
        </w:tc>
        <w:tc>
          <w:tcPr>
            <w:tcW w:w="107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hd w:fill="auto" w:val="clear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shd w:fill="auto" w:val="clear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2"/>
                <w:sz w:val="22"/>
                <w:szCs w:val="22"/>
                <w:shd w:fill="auto" w:val="clear"/>
                <w:lang w:val="ru-RU" w:eastAsia="hi-IN" w:bidi="hi-IN"/>
              </w:rPr>
              <w:t>Плавание</w:t>
            </w:r>
            <w:r>
              <w:rPr>
                <w:rFonts w:cs="Times New Roman" w:ascii="Times New Roman" w:hAnsi="Times New Roman"/>
                <w:i/>
                <w:kern w:val="2"/>
                <w:shd w:fill="auto" w:val="clear"/>
                <w:lang w:eastAsia="hi-IN" w:bidi="hi-IN"/>
              </w:rPr>
              <w:t xml:space="preserve"> (тренировочный этап)</w:t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Показатель объема услуги (работы), ед. измерения:</w:t>
            </w:r>
          </w:p>
        </w:tc>
        <w:tc>
          <w:tcPr>
            <w:tcW w:w="107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подготовку на этапе начальной подготовки, чел.</w:t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15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16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16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73,8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742,8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707,7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707,7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0,0</w:t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Наименование услуги (работы) и ее содержание:</w:t>
            </w:r>
          </w:p>
        </w:tc>
        <w:tc>
          <w:tcPr>
            <w:tcW w:w="107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hd w:fill="auto" w:val="clear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shd w:fill="auto" w:val="clear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2"/>
                <w:sz w:val="22"/>
                <w:szCs w:val="22"/>
                <w:shd w:fill="auto" w:val="clear"/>
                <w:lang w:val="ru-RU" w:eastAsia="hi-IN" w:bidi="hi-IN"/>
              </w:rPr>
              <w:t>фигурное катание на коньках</w:t>
            </w:r>
            <w:r>
              <w:rPr>
                <w:rFonts w:cs="Times New Roman" w:ascii="Times New Roman" w:hAnsi="Times New Roman"/>
                <w:i/>
                <w:kern w:val="2"/>
                <w:shd w:fill="auto" w:val="clear"/>
                <w:lang w:eastAsia="hi-IN" w:bidi="hi-IN"/>
              </w:rPr>
              <w:t xml:space="preserve"> (этап начальной подготовки)</w:t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Показатель объема услуги (работы), ед. измерения:</w:t>
            </w:r>
          </w:p>
        </w:tc>
        <w:tc>
          <w:tcPr>
            <w:tcW w:w="107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подготовку на этапе начальной подготовки, чел.</w:t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22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22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22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269,5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2788,7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2720,4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2720,4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0,0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Наименование услуги (работы) и ее содержание: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hd w:fill="auto" w:val="clear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shd w:fill="auto" w:val="clear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i/>
                <w:kern w:val="2"/>
                <w:shd w:fill="auto" w:val="clear"/>
                <w:lang w:eastAsia="hi-IN" w:bidi="hi-IN"/>
              </w:rPr>
              <w:t>Лыжные гонки (этап начальной подготовки)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Показатель объема услуги (работы), ед. измерения: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подготовку на этапе начальной подготовки, чел.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hd w:fill="auto" w:val="clear"/>
                <w:lang w:eastAsia="hi-IN" w:bidi="hi-IN"/>
              </w:rPr>
              <w:t>17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shd w:fill="auto" w:val="clear"/>
                <w:lang w:val="ru-RU" w:eastAsia="hi-IN" w:bidi="hi-IN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shd w:fill="auto" w:val="clear"/>
                <w:lang w:val="ru-RU" w:eastAsia="hi-IN" w:bidi="hi-IN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shd w:fill="auto" w:val="clear"/>
                <w:lang w:val="ru-RU" w:eastAsia="hi-IN" w:bidi="hi-IN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hd w:fill="auto" w:val="clear"/>
                <w:lang w:eastAsia="hi-IN" w:bidi="hi-IN"/>
              </w:rPr>
              <w:t>14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hd w:fill="auto" w:val="clear"/>
                <w:lang w:eastAsia="hi-IN" w:bidi="hi-IN"/>
              </w:rPr>
              <w:t>476,9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372,3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shd w:fill="auto" w:val="clear"/>
                <w:lang w:val="ru-RU" w:eastAsia="hi-IN" w:bidi="hi-IN"/>
              </w:rPr>
              <w:t>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hd w:fill="auto" w:val="clear"/>
                <w:lang w:eastAsia="hi-IN" w:bidi="hi-IN"/>
              </w:rPr>
              <w:t>516,5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hd w:fill="auto" w:val="clear"/>
                <w:lang w:eastAsia="hi-IN" w:bidi="hi-IN"/>
              </w:rPr>
              <w:t>516,5</w:t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Наименование услуги (работы) и ее содержание:</w:t>
            </w:r>
          </w:p>
        </w:tc>
        <w:tc>
          <w:tcPr>
            <w:tcW w:w="107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hd w:fill="auto" w:val="clear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shd w:fill="auto" w:val="clear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i/>
                <w:kern w:val="2"/>
                <w:shd w:fill="auto" w:val="clear"/>
                <w:lang w:eastAsia="hi-IN" w:bidi="hi-IN"/>
              </w:rPr>
              <w:t>Лыжные гонки (тренировочный этап)</w:t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Показатель объема услуги (работы), ед. измерения:</w:t>
            </w:r>
          </w:p>
        </w:tc>
        <w:tc>
          <w:tcPr>
            <w:tcW w:w="107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hd w:fill="auto" w:val="clear"/>
                <w:lang w:eastAsia="hi-IN" w:bidi="hi-IN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shd w:fill="auto" w:val="clear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  <w:kern w:val="2"/>
                <w:shd w:fill="auto" w:val="clear"/>
                <w:lang w:eastAsia="hi-IN" w:bidi="hi-IN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shd w:fill="auto" w:val="clear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  <w:kern w:val="2"/>
                <w:shd w:fill="auto" w:val="clear"/>
                <w:lang w:eastAsia="hi-IN" w:bidi="hi-IN"/>
              </w:rPr>
              <w:t>подготовку на тренировочном этапе, чел.</w:t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hd w:fill="auto" w:val="clear"/>
                <w:lang w:eastAsia="hi-IN" w:bidi="hi-I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shd w:fill="auto" w:val="clear"/>
                <w:lang w:val="ru-RU" w:eastAsia="hi-IN" w:bidi="hi-IN"/>
              </w:rPr>
              <w:t>5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hd w:fill="auto" w:val="clear"/>
              </w:rPr>
            </w:pPr>
            <w:r>
              <w:rPr>
                <w:shd w:fill="auto" w:val="clear"/>
              </w:rPr>
              <w:t>12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hd w:fill="auto" w:val="clear"/>
                <w:lang w:eastAsia="hi-IN" w:bidi="hi-IN"/>
              </w:rPr>
              <w:t>10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hd w:fill="auto" w:val="clear"/>
                <w:lang w:eastAsia="hi-IN" w:bidi="hi-IN"/>
              </w:rPr>
              <w:t>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hd w:fill="auto" w:val="clear"/>
                <w:lang w:eastAsia="hi-IN" w:bidi="hi-IN"/>
              </w:rPr>
              <w:t>758,4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shd w:fill="auto" w:val="clear"/>
                <w:lang w:val="ru-RU" w:eastAsia="hi-IN" w:bidi="hi-IN"/>
              </w:rPr>
              <w:t>554,9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hd w:fill="auto" w:val="clear"/>
                <w:lang w:eastAsia="hi-IN" w:bidi="hi-IN"/>
              </w:rPr>
              <w:t>542,0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Наименование услуги (работы) и ее содержание: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hd w:fill="auto" w:val="clear"/>
                <w:lang w:eastAsia="hi-IN" w:bidi="hi-IN"/>
              </w:rPr>
              <w:t xml:space="preserve">Спортивная подготовка по неолимпийским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shd w:fill="auto" w:val="clear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i/>
                <w:kern w:val="2"/>
                <w:shd w:fill="auto" w:val="clear"/>
                <w:lang w:eastAsia="hi-IN" w:bidi="hi-IN"/>
              </w:rPr>
              <w:t>Гиревой спорт (этап начальной подготовки)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Показатель объема услуги (работы), ед. измерения: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подготовку на этапе начальной подготовки, чел.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19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768,9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596,8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906,8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842,3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541,6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Наименование услуги (работы) и ее содержание: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hd w:fill="auto" w:val="clear"/>
                <w:lang w:eastAsia="hi-IN" w:bidi="hi-IN"/>
              </w:rPr>
              <w:t xml:space="preserve">Спортивная подготовка по неолимпийским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shd w:fill="auto" w:val="clear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i/>
                <w:kern w:val="2"/>
                <w:shd w:fill="auto" w:val="clear"/>
                <w:lang w:eastAsia="hi-IN" w:bidi="hi-IN"/>
              </w:rPr>
              <w:t>Гиревой спорт (тренировочный этап)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Показатель объема услуги (работы), ед. измерения: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подготовку на тренировочном этапе, чел.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15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403,0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1080,0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838,3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838,3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541,7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Наименование услуги (работы) и ее содержание: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hd w:fill="auto" w:val="clear"/>
                <w:lang w:eastAsia="hi-IN" w:bidi="hi-IN"/>
              </w:rPr>
              <w:t xml:space="preserve">Спортивная подготовка по неолимпийским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shd w:fill="auto" w:val="clear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i/>
                <w:kern w:val="2"/>
                <w:shd w:fill="auto" w:val="clear"/>
                <w:lang w:eastAsia="hi-IN" w:bidi="hi-IN"/>
              </w:rPr>
              <w:t>Полиатлон (тренировочный этап)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Показатель объема услуги (работы), ед. измерения: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подготовку на тренировочном этапе, чел.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1318,0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1345,1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1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509,8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1509,8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3050,9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Наименование услуги (работы) и ее содержание: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b/>
                <w:kern w:val="2"/>
                <w:shd w:fill="auto" w:val="clear"/>
                <w:lang w:eastAsia="hi-IN" w:bidi="hi-IN"/>
              </w:rPr>
              <w:t>Спортивная подготовка по спорту слепых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i/>
                <w:kern w:val="2"/>
                <w:shd w:fill="auto" w:val="clear"/>
                <w:lang w:eastAsia="hi-IN" w:bidi="hi-IN"/>
              </w:rPr>
              <w:t>Голбол (тренировочный этап)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Показатель объема услуги (работы), ед. измерения: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подготовку на тренировочном этапе, чел.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Основное мероприятие 2.1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658,2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0,0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0,0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Наименование услуги (работы) и ее содержание: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color w:val="000000"/>
                <w:shd w:fill="auto" w:val="clear"/>
              </w:rPr>
              <w:t>Обеспечение участия спортивных сборных команд в официальных спортивных мероприятиях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Показатель объема услуги (работы), ед. измерения: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Количество мероприятий, шт.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Основное мероприятие 2.1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11" w:before="0" w:after="20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11" w:before="0" w:after="200"/>
              <w:jc w:val="center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auto" w:val="clear"/>
              </w:rPr>
              <w:t xml:space="preserve">2 </w:t>
            </w:r>
            <w:r>
              <w:rPr>
                <w:rFonts w:eastAsia="Calibri" w:cs="Times New Roman" w:ascii="Times New Roman" w:hAnsi="Times New Roman"/>
                <w:color w:val="000000"/>
                <w:sz w:val="21"/>
                <w:szCs w:val="21"/>
                <w:shd w:fill="auto" w:val="clear"/>
                <w:lang w:val="ru-RU" w:eastAsia="zh-CN" w:bidi="ar-SA"/>
              </w:rPr>
              <w:t>835,28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2832,2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2235,7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2235,7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779,9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Наименование услуги (работы) и ее содержание: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color w:val="000000"/>
                <w:shd w:fill="auto" w:val="clear"/>
              </w:rPr>
              <w:t>Обеспечение доступа к объектам спорта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Показатель объема услуги (работы), ед. измерения:</w:t>
            </w:r>
          </w:p>
        </w:tc>
        <w:tc>
          <w:tcPr>
            <w:tcW w:w="10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Количество посетителей, чел.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Основное мероприятие 2.2  «Доступность к объектам спорта»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40502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40505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29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299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29299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41400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9 423,4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5969,0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5447,1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5447,1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3905,6</w:t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Наименование услуги (работы) и ее содержание:</w:t>
            </w:r>
          </w:p>
        </w:tc>
        <w:tc>
          <w:tcPr>
            <w:tcW w:w="107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hd w:fill="auto" w:val="clear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Показатель объема услуги (работы), ед. измерения:</w:t>
            </w:r>
          </w:p>
        </w:tc>
        <w:tc>
          <w:tcPr>
            <w:tcW w:w="107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Количество занятий, шт.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Bookman Old Styl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Основное мероприятие 2.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2</w:t>
            </w:r>
            <w:r>
              <w:rPr>
                <w:rFonts w:cs="Times New Roman" w:ascii="Times New Roman" w:hAnsi="Times New Roman"/>
                <w:shd w:fill="auto" w:val="clear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«Доступность к объектам спорта»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264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352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264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264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264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hd w:fill="auto" w:val="clear"/>
                <w:lang w:eastAsia="hi-IN" w:bidi="hi-IN"/>
              </w:rPr>
              <w:t>1917,8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2120,2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  <w:t>1910,6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  <w:t>1910,6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  <w:t>1917,8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  <w:bookmarkStart w:id="1" w:name="_GoBack"/>
      <w:bookmarkStart w:id="2" w:name="_GoBack"/>
      <w:bookmarkEnd w:id="2"/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spacing w:before="0" w:after="200"/>
        <w:rPr>
          <w:rFonts w:ascii="Bookman Old Style" w:hAnsi="Bookman Old Style"/>
          <w:sz w:val="24"/>
          <w:szCs w:val="24"/>
        </w:rPr>
      </w:pPr>
      <w:r>
        <w:rPr/>
      </w:r>
    </w:p>
    <w:sectPr>
      <w:headerReference w:type="default" r:id="rId12"/>
      <w:footerReference w:type="default" r:id="rId13"/>
      <w:type w:val="nextPage"/>
      <w:pgSz w:orient="landscape" w:w="16838" w:h="11906"/>
      <w:pgMar w:left="1134" w:right="1134" w:header="709" w:top="851" w:footer="709" w:bottom="1701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ylfae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Bookman Old Style">
    <w:charset w:val="cc"/>
    <w:family w:val="roman"/>
    <w:pitch w:val="variable"/>
  </w:font>
  <w:font w:name="yandex-san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57346255"/>
    </w:sdtPr>
    <w:sdtContent>
      <w:p>
        <w:pPr>
          <w:pStyle w:val="1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  <w:p>
        <w:pPr>
          <w:pStyle w:val="14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jc w:val="right"/>
      <w:rPr/>
    </w:pPr>
    <w:r>
      <w:rPr>
        <w:rFonts w:cs="Bookman Old Style"/>
        <w:sz w:val="20"/>
        <w:szCs w:val="20"/>
      </w:rPr>
      <w:fldChar w:fldCharType="begin"/>
    </w:r>
    <w:r>
      <w:rPr>
        <w:sz w:val="20"/>
        <w:szCs w:val="20"/>
        <w:rFonts w:cs="Bookman Old Style"/>
      </w:rPr>
      <w:instrText> PAGE </w:instrText>
    </w:r>
    <w:r>
      <w:rPr>
        <w:sz w:val="20"/>
        <w:szCs w:val="20"/>
        <w:rFonts w:cs="Bookman Old Style"/>
      </w:rPr>
      <w:fldChar w:fldCharType="separate"/>
    </w:r>
    <w:r>
      <w:rPr>
        <w:sz w:val="20"/>
        <w:szCs w:val="20"/>
        <w:rFonts w:cs="Bookman Old Style"/>
      </w:rPr>
      <w:t>12</w:t>
    </w:r>
    <w:r>
      <w:rPr>
        <w:sz w:val="20"/>
        <w:szCs w:val="20"/>
        <w:rFonts w:cs="Bookman Old Style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jc w:val="right"/>
      <w:rPr/>
    </w:pPr>
    <w:r>
      <w:rPr>
        <w:rFonts w:cs="Bookman Old Style"/>
        <w:sz w:val="20"/>
        <w:szCs w:val="20"/>
      </w:rPr>
      <w:fldChar w:fldCharType="begin"/>
    </w:r>
    <w:r>
      <w:rPr>
        <w:sz w:val="20"/>
        <w:szCs w:val="20"/>
        <w:rFonts w:cs="Bookman Old Style"/>
      </w:rPr>
      <w:instrText> PAGE </w:instrText>
    </w:r>
    <w:r>
      <w:rPr>
        <w:sz w:val="20"/>
        <w:szCs w:val="20"/>
        <w:rFonts w:cs="Bookman Old Style"/>
      </w:rPr>
      <w:fldChar w:fldCharType="separate"/>
    </w:r>
    <w:r>
      <w:rPr>
        <w:sz w:val="20"/>
        <w:szCs w:val="20"/>
        <w:rFonts w:cs="Bookman Old Style"/>
      </w:rPr>
      <w:t>17</w:t>
    </w:r>
    <w:r>
      <w:rPr>
        <w:sz w:val="20"/>
        <w:szCs w:val="20"/>
        <w:rFonts w:cs="Bookman Old Style"/>
      </w:rPr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jc w:val="right"/>
      <w:rPr/>
    </w:pPr>
    <w:r>
      <w:rPr>
        <w:rFonts w:cs="Bookman Old Style" w:ascii="Bookman Old Style" w:hAnsi="Bookman Old Style"/>
        <w:sz w:val="20"/>
        <w:szCs w:val="20"/>
      </w:rPr>
      <w:fldChar w:fldCharType="begin"/>
    </w:r>
    <w:r>
      <w:rPr>
        <w:sz w:val="20"/>
        <w:szCs w:val="20"/>
        <w:rFonts w:cs="Bookman Old Style" w:ascii="Bookman Old Style" w:hAnsi="Bookman Old Style"/>
      </w:rPr>
      <w:instrText> PAGE </w:instrText>
    </w:r>
    <w:r>
      <w:rPr>
        <w:sz w:val="20"/>
        <w:szCs w:val="20"/>
        <w:rFonts w:cs="Bookman Old Style" w:ascii="Bookman Old Style" w:hAnsi="Bookman Old Style"/>
      </w:rPr>
      <w:fldChar w:fldCharType="separate"/>
    </w:r>
    <w:r>
      <w:rPr>
        <w:sz w:val="20"/>
        <w:szCs w:val="20"/>
        <w:rFonts w:cs="Bookman Old Style" w:ascii="Bookman Old Style" w:hAnsi="Bookman Old Style"/>
      </w:rPr>
      <w:t>27</w:t>
    </w:r>
    <w:r>
      <w:rPr>
        <w:sz w:val="20"/>
        <w:szCs w:val="20"/>
        <w:rFonts w:cs="Bookman Old Style" w:ascii="Bookman Old Style" w:hAnsi="Bookman Old Style"/>
      </w:rPr>
      <w:fldChar w:fldCharType="end"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jc w:val="right"/>
      <w:rPr/>
    </w:pPr>
    <w:r>
      <w:rPr>
        <w:rFonts w:cs="Bookman Old Style" w:ascii="Bookman Old Style" w:hAnsi="Bookman Old Style"/>
        <w:sz w:val="20"/>
        <w:szCs w:val="20"/>
      </w:rPr>
      <w:fldChar w:fldCharType="begin"/>
    </w:r>
    <w:r>
      <w:rPr>
        <w:sz w:val="20"/>
        <w:szCs w:val="20"/>
        <w:rFonts w:cs="Bookman Old Style" w:ascii="Bookman Old Style" w:hAnsi="Bookman Old Style"/>
      </w:rPr>
      <w:instrText> PAGE </w:instrText>
    </w:r>
    <w:r>
      <w:rPr>
        <w:sz w:val="20"/>
        <w:szCs w:val="20"/>
        <w:rFonts w:cs="Bookman Old Style" w:ascii="Bookman Old Style" w:hAnsi="Bookman Old Style"/>
      </w:rPr>
      <w:fldChar w:fldCharType="separate"/>
    </w:r>
    <w:r>
      <w:rPr>
        <w:sz w:val="20"/>
        <w:szCs w:val="20"/>
        <w:rFonts w:cs="Bookman Old Style" w:ascii="Bookman Old Style" w:hAnsi="Bookman Old Style"/>
      </w:rPr>
      <w:t>32</w:t>
    </w:r>
    <w:r>
      <w:rPr>
        <w:sz w:val="20"/>
        <w:szCs w:val="20"/>
        <w:rFonts w:cs="Bookman Old Style" w:ascii="Bookman Old Style" w:hAnsi="Bookman Old Style"/>
      </w:rPr>
      <w:fldChar w:fldCharType="end"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jc w:val="right"/>
      <w:rPr/>
    </w:pPr>
    <w:r>
      <w:rPr>
        <w:rFonts w:cs="Bookman Old Style" w:ascii="Bookman Old Style" w:hAnsi="Bookman Old Style"/>
        <w:sz w:val="20"/>
        <w:szCs w:val="20"/>
      </w:rPr>
      <w:fldChar w:fldCharType="begin"/>
    </w:r>
    <w:r>
      <w:rPr>
        <w:sz w:val="20"/>
        <w:szCs w:val="20"/>
        <w:rFonts w:cs="Bookman Old Style" w:ascii="Bookman Old Style" w:hAnsi="Bookman Old Style"/>
      </w:rPr>
      <w:instrText> PAGE </w:instrText>
    </w:r>
    <w:r>
      <w:rPr>
        <w:sz w:val="20"/>
        <w:szCs w:val="20"/>
        <w:rFonts w:cs="Bookman Old Style" w:ascii="Bookman Old Style" w:hAnsi="Bookman Old Style"/>
      </w:rPr>
      <w:fldChar w:fldCharType="separate"/>
    </w:r>
    <w:r>
      <w:rPr>
        <w:sz w:val="20"/>
        <w:szCs w:val="20"/>
        <w:rFonts w:cs="Bookman Old Style" w:ascii="Bookman Old Style" w:hAnsi="Bookman Old Style"/>
      </w:rPr>
      <w:t>44</w:t>
    </w:r>
    <w:r>
      <w:rPr>
        <w:sz w:val="20"/>
        <w:szCs w:val="20"/>
        <w:rFonts w:cs="Bookman Old Style" w:ascii="Bookman Old Style" w:hAnsi="Bookman Old Style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sz w:val="24"/>
        <w:b/>
        <w:rFonts w:ascii="Bookman Old Style" w:hAnsi="Bookman Old Style" w:cs="Bookman Old Sty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17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240d42"/>
    <w:rPr>
      <w:color w:val="0000FF"/>
      <w:u w:val="single"/>
    </w:rPr>
  </w:style>
  <w:style w:type="character" w:styleId="Style15" w:customStyle="1">
    <w:name w:val="Нижний колонтитул Знак"/>
    <w:basedOn w:val="DefaultParagraphFont"/>
    <w:uiPriority w:val="99"/>
    <w:qFormat/>
    <w:rsid w:val="00240d42"/>
    <w:rPr>
      <w:rFonts w:ascii="Calibri" w:hAnsi="Calibri" w:eastAsia="Calibri" w:cs="Times New Roman"/>
      <w:lang w:eastAsia="zh-CN"/>
    </w:rPr>
  </w:style>
  <w:style w:type="character" w:styleId="FontStyle11" w:customStyle="1">
    <w:name w:val="Font Style11"/>
    <w:qFormat/>
    <w:rsid w:val="00867e3b"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2Sylfaen65pt" w:customStyle="1">
    <w:name w:val="Основной текст (2) + Sylfaen;6;5 pt;Малые прописные"/>
    <w:basedOn w:val="DefaultParagraphFont"/>
    <w:qFormat/>
    <w:rsid w:val="00b17a17"/>
    <w:rPr>
      <w:rFonts w:ascii="Sylfaen" w:hAnsi="Sylfaen" w:eastAsia="Sylfaen" w:cs="Sylfaen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sz w:val="13"/>
      <w:szCs w:val="13"/>
      <w:u w:val="none"/>
      <w:shd w:fill="FFFFFF" w:val="clear"/>
      <w:lang w:val="en-US" w:eastAsia="en-US" w:bidi="en-US"/>
    </w:rPr>
  </w:style>
  <w:style w:type="character" w:styleId="2" w:customStyle="1">
    <w:name w:val="Заголовок 2 Знак"/>
    <w:basedOn w:val="DefaultParagraphFont"/>
    <w:uiPriority w:val="9"/>
    <w:qFormat/>
    <w:rsid w:val="00db04a0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1" w:customStyle="1">
    <w:name w:val="Заголовок 1 Знак"/>
    <w:basedOn w:val="DefaultParagraphFont"/>
    <w:uiPriority w:val="9"/>
    <w:qFormat/>
    <w:rsid w:val="00b66aab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FontStyle12" w:customStyle="1">
    <w:name w:val="Font Style12"/>
    <w:qFormat/>
    <w:rsid w:val="007e4df6"/>
    <w:rPr>
      <w:rFonts w:ascii="Times New Roman" w:hAnsi="Times New Roman" w:eastAsia="Times New Roman" w:cs="Times New Roman"/>
      <w:sz w:val="22"/>
      <w:szCs w:val="22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f21b10"/>
    <w:rPr>
      <w:rFonts w:ascii="Calibri" w:hAnsi="Calibri" w:eastAsia="Calibri" w:cs="Times New Roman"/>
    </w:rPr>
  </w:style>
  <w:style w:type="character" w:styleId="11" w:customStyle="1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cd2c41"/>
    <w:pPr>
      <w:spacing w:before="0" w:after="140"/>
    </w:pPr>
    <w:rPr/>
  </w:style>
  <w:style w:type="paragraph" w:styleId="Style19">
    <w:name w:val="List"/>
    <w:basedOn w:val="Style18"/>
    <w:rsid w:val="00cd2c41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11" w:customStyle="1">
    <w:name w:val="Заголовок 11"/>
    <w:basedOn w:val="Normal"/>
    <w:next w:val="Normal"/>
    <w:link w:val="11"/>
    <w:uiPriority w:val="9"/>
    <w:qFormat/>
    <w:rsid w:val="00b66aab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1" w:customStyle="1">
    <w:name w:val="Заголовок 21"/>
    <w:basedOn w:val="Normal"/>
    <w:link w:val="21"/>
    <w:uiPriority w:val="9"/>
    <w:qFormat/>
    <w:rsid w:val="00db04a0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ru-RU"/>
    </w:rPr>
  </w:style>
  <w:style w:type="paragraph" w:styleId="12" w:customStyle="1">
    <w:name w:val="Заголовок1"/>
    <w:basedOn w:val="Normal"/>
    <w:next w:val="Style18"/>
    <w:qFormat/>
    <w:rsid w:val="00cd2c41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3" w:customStyle="1">
    <w:name w:val="Название объекта1"/>
    <w:basedOn w:val="Normal"/>
    <w:qFormat/>
    <w:rsid w:val="00cd2c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cd2c41"/>
    <w:pPr>
      <w:suppressLineNumbers/>
    </w:pPr>
    <w:rPr>
      <w:rFonts w:cs="Mangal"/>
    </w:rPr>
  </w:style>
  <w:style w:type="paragraph" w:styleId="NoSpacing">
    <w:name w:val="No Spacing"/>
    <w:qFormat/>
    <w:rsid w:val="009b17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 w:customStyle="1">
    <w:name w:val="Верхний и нижний колонтитулы"/>
    <w:basedOn w:val="Normal"/>
    <w:qFormat/>
    <w:rsid w:val="00cd2c41"/>
    <w:pPr/>
    <w:rPr/>
  </w:style>
  <w:style w:type="paragraph" w:styleId="14" w:customStyle="1">
    <w:name w:val="Нижний колонтитул1"/>
    <w:basedOn w:val="Normal"/>
    <w:uiPriority w:val="99"/>
    <w:qFormat/>
    <w:rsid w:val="00240d42"/>
    <w:pPr>
      <w:spacing w:lineRule="auto" w:line="240" w:before="0" w:after="0"/>
    </w:pPr>
    <w:rPr>
      <w:lang w:eastAsia="zh-CN"/>
    </w:rPr>
  </w:style>
  <w:style w:type="paragraph" w:styleId="ListParagraph">
    <w:name w:val="List Paragraph"/>
    <w:basedOn w:val="Normal"/>
    <w:qFormat/>
    <w:rsid w:val="00240d42"/>
    <w:pPr>
      <w:ind w:left="720" w:hanging="0"/>
    </w:pPr>
    <w:rPr>
      <w:rFonts w:eastAsia="Times New Roman" w:cs="Calibri"/>
      <w:lang w:eastAsia="zh-CN"/>
    </w:rPr>
  </w:style>
  <w:style w:type="paragraph" w:styleId="ConsPlusCell" w:customStyle="1">
    <w:name w:val="ConsPlusCell"/>
    <w:qFormat/>
    <w:rsid w:val="0051084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ConsPlusNormal" w:customStyle="1">
    <w:name w:val="ConsPlusNormal"/>
    <w:qFormat/>
    <w:rsid w:val="00776b6f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Содержимое таблицы"/>
    <w:basedOn w:val="Normal"/>
    <w:qFormat/>
    <w:rsid w:val="00af766f"/>
    <w:pPr>
      <w:widowControl w:val="false"/>
      <w:suppressLineNumbers/>
      <w:spacing w:lineRule="auto" w:line="240" w:before="0" w:after="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zh-CN" w:bidi="fa-IR"/>
    </w:rPr>
  </w:style>
  <w:style w:type="paragraph" w:styleId="15" w:customStyle="1">
    <w:name w:val="Верхний колонтитул1"/>
    <w:basedOn w:val="Normal"/>
    <w:uiPriority w:val="99"/>
    <w:semiHidden/>
    <w:unhideWhenUsed/>
    <w:qFormat/>
    <w:rsid w:val="00f21b1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 w:customStyle="1">
    <w:name w:val="Заголовок таблицы"/>
    <w:basedOn w:val="Style23"/>
    <w:qFormat/>
    <w:rsid w:val="00cd2c41"/>
    <w:pPr>
      <w:jc w:val="center"/>
    </w:pPr>
    <w:rPr>
      <w:b/>
      <w:bCs/>
    </w:rPr>
  </w:style>
  <w:style w:type="paragraph" w:styleId="Style25">
    <w:name w:val="Footer"/>
    <w:basedOn w:val="Style22"/>
    <w:pPr/>
    <w:rPr/>
  </w:style>
  <w:style w:type="paragraph" w:styleId="Style26">
    <w:name w:val="Header"/>
    <w:basedOn w:val="Style22"/>
    <w:pPr/>
    <w:rPr/>
  </w:style>
  <w:style w:type="paragraph" w:styleId="Style27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 Unicode MS" w:cs="Tahoma"/>
      <w:color w:val="auto"/>
      <w:kern w:val="2"/>
      <w:sz w:val="21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9A9376D732E53C4751F5D95D4EED43BF21FEF2456DABDCE5E761A14CBD76C58091A35FD356DC394E39D5EC5H5B0G" TargetMode="External"/><Relationship Id="rId3" Type="http://schemas.openxmlformats.org/officeDocument/2006/relationships/footer" Target="footer1.xml"/><Relationship Id="rId4" Type="http://schemas.openxmlformats.org/officeDocument/2006/relationships/header" Target="header1.xml"/><Relationship Id="rId5" Type="http://schemas.openxmlformats.org/officeDocument/2006/relationships/footer" Target="footer2.xml"/><Relationship Id="rId6" Type="http://schemas.openxmlformats.org/officeDocument/2006/relationships/header" Target="header2.xml"/><Relationship Id="rId7" Type="http://schemas.openxmlformats.org/officeDocument/2006/relationships/footer" Target="footer3.xml"/><Relationship Id="rId8" Type="http://schemas.openxmlformats.org/officeDocument/2006/relationships/header" Target="header3.xml"/><Relationship Id="rId9" Type="http://schemas.openxmlformats.org/officeDocument/2006/relationships/footer" Target="footer4.xml"/><Relationship Id="rId10" Type="http://schemas.openxmlformats.org/officeDocument/2006/relationships/header" Target="header4.xml"/><Relationship Id="rId11" Type="http://schemas.openxmlformats.org/officeDocument/2006/relationships/footer" Target="footer5.xml"/><Relationship Id="rId12" Type="http://schemas.openxmlformats.org/officeDocument/2006/relationships/header" Target="header5.xml"/><Relationship Id="rId13" Type="http://schemas.openxmlformats.org/officeDocument/2006/relationships/footer" Target="footer6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62FD9-A577-4013-9E01-0046F914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Application>LibreOffice/7.0.3.1$Windows_X86_64 LibreOffice_project/d7547858d014d4cf69878db179d326fc3483e082</Application>
  <Pages>44</Pages>
  <Words>9801</Words>
  <Characters>63825</Characters>
  <CharactersWithSpaces>72941</CharactersWithSpaces>
  <Paragraphs>2206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2020-09-08T08:34:00Z</dcterms:created>
  <dc:creator>glava</dc:creator>
  <dc:description/>
  <dc:language>ru-RU</dc:language>
  <cp:lastModifiedBy/>
  <cp:lastPrinted>2022-11-17T11:33:09Z</cp:lastPrinted>
  <dcterms:modified xsi:type="dcterms:W3CDTF">2022-12-12T10:17:36Z</dcterms:modified>
  <cp:revision>321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