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ЗАКЛЮЧЕНИЕ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результатам проведения экспертизы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муниципального нормативного правового акта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затрагивающего вопросы осуществления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Style17"/>
        <w:suppressAutoHyphens w:val="false"/>
        <w:ind w:firstLine="709"/>
        <w:jc w:val="both"/>
        <w:rPr/>
      </w:pPr>
      <w:r>
        <w:rPr/>
        <w:t xml:space="preserve">    </w:t>
      </w:r>
      <w:r>
        <w:rPr>
          <w:rFonts w:ascii="Bookman Old Style" w:hAnsi="Bookman Old Style"/>
          <w:w w:val="100"/>
          <w:sz w:val="24"/>
        </w:rPr>
        <w:t>Управление социально-экономического развития района администрации района (далее   -   Управление)  в  соответствии  с  Порядком  проведения 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 муниципальных  нормативных  правовых  актов Грязовецкого муниципального района,   затрагивающих   вопросы   осуществления предпринимательской     и     инвестиционной    деятельности,    рассмотрело приказ Управления по имущественным и земельным отношениям Грязовецкого муниципального района Вологодской области от 14.06.2016 №46 «Об  утверждении административного регламента по предоставлению муниципальной услуги «Предоставление земельных участков, находящихся в муниципальной и государственной собственности до разграничения, где не утверждены Правила землепользования и застройки поселения, на которых расположены здания, сооружения» и признании утратившими силу приказов Управления по имущественным и земельным отношениям Грязовецкого муниципального района Вологодской области» с последующими изменениями (далее - акт) и сообщает следующее.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0"/>
          <w:szCs w:val="20"/>
        </w:rPr>
      </w:pPr>
      <w:r>
        <w:rPr>
          <w:rFonts w:ascii="Bookman Old Style" w:hAnsi="Bookman Old Style"/>
          <w:w w:val="100"/>
          <w:sz w:val="24"/>
        </w:rPr>
        <w:t>Органом  местного самоуправления Грязовецкого муниципального района, осуществляющим функции в сфере регулирования акта, является Управление по имущественным и  земельным отношениям Грязовецкого муниципального района.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Управлением проведены публичные консультации в сроки с 1 марта  2018 года по 31 марта 2018 года. </w:t>
      </w:r>
      <w:r>
        <w:rPr>
          <w:rFonts w:ascii="Bookman Old Style" w:hAnsi="Bookman Old Style"/>
          <w:w w:val="100"/>
          <w:sz w:val="24"/>
          <w:szCs w:val="28"/>
        </w:rPr>
        <w:t>Соответствующее уведомление и акт размещены на официальном сайте администрации Грязовецкого муниципального района в сети «Интернет» 28 февраля 2018 года. Также  уведомление и акт</w:t>
      </w:r>
      <w:r>
        <w:rPr>
          <w:rFonts w:eastAsia="Calibri" w:ascii="Bookman Old Style" w:hAnsi="Bookman Old Style"/>
          <w:w w:val="100"/>
          <w:sz w:val="24"/>
          <w:szCs w:val="28"/>
        </w:rPr>
        <w:t xml:space="preserve"> направлены в адрес организаций: ООО «Комела Лес», СПК «Анохинский», племзавод-колхоз имени 50-летия СССР, АО Племзавод «Заря», племзавод-колхоз «Аврора», </w:t>
      </w:r>
      <w:r>
        <w:rPr>
          <w:rFonts w:eastAsia="Times New Roman" w:cs="Bookman Old Style" w:ascii="Bookman Old Style" w:hAnsi="Bookman Old Style"/>
          <w:color w:val="00000A"/>
          <w:w w:val="100"/>
          <w:sz w:val="22"/>
          <w:szCs w:val="24"/>
          <w:lang w:val="ru-RU" w:eastAsia="zh-CN" w:bidi="ar-SA"/>
        </w:rPr>
        <w:t>СА (колхоз) им. Калинина, ООО «Покровское»</w:t>
      </w:r>
      <w:r>
        <w:rPr>
          <w:rFonts w:ascii="Bookman Old Style" w:hAnsi="Bookman Old Style"/>
          <w:w w:val="100"/>
          <w:sz w:val="24"/>
          <w:szCs w:val="28"/>
        </w:rPr>
        <w:t>.</w:t>
      </w:r>
    </w:p>
    <w:p>
      <w:pPr>
        <w:pStyle w:val="Normal"/>
        <w:spacing w:lineRule="auto" w:line="240" w:before="0" w:after="0"/>
        <w:ind w:left="-142" w:right="-141" w:firstLine="709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eastAsia="Calibri" w:cs="Times New Roman" w:ascii="Bookman Old Style" w:hAnsi="Bookman Old Style"/>
          <w:sz w:val="24"/>
          <w:szCs w:val="28"/>
        </w:rPr>
        <w:t xml:space="preserve"> </w:t>
      </w:r>
      <w:r>
        <w:rPr>
          <w:rFonts w:eastAsia="Calibri" w:cs="Times New Roman" w:ascii="Bookman Old Style" w:hAnsi="Bookman Old Style"/>
          <w:sz w:val="24"/>
          <w:szCs w:val="28"/>
        </w:rPr>
        <w:t>Во время проведения публичных консультаций не поступило ни одного предложения (замечания)</w:t>
      </w:r>
      <w:r>
        <w:rPr>
          <w:rFonts w:cs="Times New Roman" w:ascii="Bookman Old Style" w:hAnsi="Bookman Old Style"/>
          <w:sz w:val="24"/>
          <w:szCs w:val="28"/>
        </w:rPr>
        <w:t>.</w:t>
      </w:r>
    </w:p>
    <w:p>
      <w:pPr>
        <w:pStyle w:val="Style17"/>
        <w:suppressAutoHyphens w:val="false"/>
        <w:ind w:firstLine="567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В  ходе проведения экспертизы акта Управлением получена и рассмотрена информация для подготовки заключения по результатам экспертизы акта от Управления по имущественным и земельным отношениям.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Грязовецкого муниципального района, на территории сельских поселений района.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Указанная муниципальная услуга включает направление: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проект договора аренды земельного участка;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 проект договора купли-продажи земельного участка;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проект договора о передаче земельного участка в безвозмездное срочное пользование;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решения о предоставлении земельного участка на праве постоянного (бессрочного) пользования;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решения о предоставлении земельного участка в собственность бесплатно;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решения об отказе в предоставлении земельного участка.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имеющие в собственности, безвозмездном пользовании, хозяйственном ведении или оперативном управлении здания, сооружения, расположенные на земельных участках, находящихся в муниципальной собственности либо государственная  собственность на которые не разграничена, расположенные на территории сельских поселений Грязовецкого муниципального района.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В 2017 году было заключено 16 договоров купли-продажи земельных участков, из них 5 с юридическими лицами: ООО «Комела Лес», ПАО «МТС», Племзавод колхоз имени 50-летия СССР, АО Племзавод «Заря», СПК «Анохинский» на сумму 24522 руб. 00 коп.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Получить данную услугу можно на портале </w:t>
      </w:r>
      <w:r>
        <w:rPr>
          <w:rFonts w:ascii="Bookman Old Style" w:hAnsi="Bookman Old Style"/>
          <w:w w:val="100"/>
          <w:sz w:val="24"/>
          <w:szCs w:val="20"/>
          <w:lang w:val="en-US"/>
        </w:rPr>
        <w:t>www.gosuslugi.ru.</w:t>
      </w: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  </w:t>
      </w:r>
    </w:p>
    <w:p>
      <w:pPr>
        <w:pStyle w:val="Style17"/>
        <w:suppressAutoHyphens w:val="false"/>
        <w:ind w:hanging="0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     </w:t>
      </w:r>
      <w:r>
        <w:rPr>
          <w:rFonts w:ascii="Bookman Old Style" w:hAnsi="Bookman Old Style"/>
          <w:w w:val="100"/>
          <w:sz w:val="24"/>
        </w:rPr>
        <w:t xml:space="preserve">С   учётом   информации,   полученной   в   ходе  проведения  публичных консультаций,  и  представленных материалов Управлением сделаны следующие выводы: </w:t>
      </w:r>
    </w:p>
    <w:p>
      <w:pPr>
        <w:pStyle w:val="Normal"/>
        <w:spacing w:lineRule="auto" w:line="240" w:before="0" w:after="0"/>
        <w:ind w:right="-141" w:firstLine="708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cs="Times New Roman" w:ascii="Bookman Old Style" w:hAnsi="Bookman Old Style"/>
          <w:sz w:val="24"/>
          <w:szCs w:val="28"/>
        </w:rPr>
        <w:t>Акт не содержит положения, необоснованно затрудняющие осуществление предпринимательской и инвестиционной деятельности.</w:t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Первый заместитель главы </w:t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администрации района       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w w:val="100"/>
          <w:sz w:val="24"/>
        </w:rPr>
        <w:t xml:space="preserve">  Л.Н.  Крутикова               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2602b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0a1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a1fa0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42602b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260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6"/>
    <w:uiPriority w:val="99"/>
    <w:semiHidden/>
    <w:unhideWhenUsed/>
    <w:qFormat/>
    <w:rsid w:val="000a1fa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Application>LibreOffice/5.4.1.2$Windows_x86 LibreOffice_project/ea7cb86e6eeb2bf3a5af73a8f7777ac570321527</Application>
  <Pages>2</Pages>
  <Words>498</Words>
  <Characters>3922</Characters>
  <CharactersWithSpaces>4572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2017-04-07T05:38:00Z</dcterms:created>
  <dc:creator>econ10</dc:creator>
  <dc:description/>
  <dc:language>ru-RU</dc:language>
  <cp:lastModifiedBy/>
  <dcterms:modified xsi:type="dcterms:W3CDTF">2018-04-13T16:16:56Z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