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49" w:rsidRDefault="003E3A37">
      <w:pPr>
        <w:pStyle w:val="Standard"/>
        <w:spacing w:line="276" w:lineRule="auto"/>
        <w:ind w:firstLine="709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Информация об экспертно-аналитическом мероприятии по проекту решения Земского Собрания Грязовецкого муниципального округа</w:t>
      </w:r>
      <w:r>
        <w:rPr>
          <w:b/>
          <w:bCs/>
          <w:sz w:val="28"/>
          <w:szCs w:val="28"/>
        </w:rPr>
        <w:t xml:space="preserve">«О бюджете Грязовецкого муниципального округа на 2023 год и </w:t>
      </w:r>
      <w:r>
        <w:rPr>
          <w:b/>
          <w:bCs/>
          <w:sz w:val="28"/>
          <w:szCs w:val="28"/>
        </w:rPr>
        <w:t>плановый период 2024 и 2025 годов»</w:t>
      </w:r>
    </w:p>
    <w:p w:rsidR="005B3049" w:rsidRDefault="003E3A37">
      <w:pPr>
        <w:pStyle w:val="Standard"/>
        <w:spacing w:line="276" w:lineRule="auto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25.11.2022 года</w:t>
      </w:r>
    </w:p>
    <w:bookmarkEnd w:id="0"/>
    <w:p w:rsidR="005B3049" w:rsidRDefault="003E3A37">
      <w:pPr>
        <w:pStyle w:val="Standard"/>
        <w:spacing w:line="276" w:lineRule="auto"/>
        <w:ind w:firstLine="709"/>
        <w:jc w:val="both"/>
      </w:pPr>
      <w:r>
        <w:t>Заключение Контрольно-счетной палаты Грязовецкого муниципального района на проект решения Земского Собрания Грязовецкого муниципального округа «О бюджете Грязовецкого муниципального округа на 2023 год и пл</w:t>
      </w:r>
      <w:r>
        <w:t>ановый период 2024 и 2025 годов» (далее – Заключение) подготовлено в соответствии с  полномочиями Контрольно-счетной палаты Грязовецкого муниципального района, предусмотренными статьей 157 Бюджетного кодекса Российской Федерации (далее - Бюджетный кодекс Р</w:t>
      </w:r>
      <w:r>
        <w:t>Ф, БК РФ), с учетом требований, определенных Федеральным законом от 07.02.2001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 «О принятии положения о б</w:t>
      </w:r>
      <w:r>
        <w:t>юджетном процесс</w:t>
      </w:r>
      <w:r>
        <w:t>е в Грязовецком муниципальном районе», иными нормативными правовыми актами.</w:t>
      </w:r>
    </w:p>
    <w:p w:rsidR="005B3049" w:rsidRDefault="003E3A37">
      <w:pPr>
        <w:pStyle w:val="Standard"/>
        <w:suppressAutoHyphens w:val="0"/>
        <w:jc w:val="both"/>
      </w:pPr>
      <w:r>
        <w:rPr>
          <w:lang w:eastAsia="ru-RU"/>
        </w:rPr>
        <w:t xml:space="preserve">          Контрольно-счетной палатой проанализированы: представленный прогноз социально экономического развития Грязовецкого муниципального округа на среднесрочный </w:t>
      </w:r>
      <w:r>
        <w:rPr>
          <w:lang w:eastAsia="ru-RU"/>
        </w:rPr>
        <w:t>период 2023-2025 года, структура и содержание проекта решения, приложения  к проекту решения, документы и материалы, представленные  одновременно с ним.</w:t>
      </w:r>
    </w:p>
    <w:p w:rsidR="005B3049" w:rsidRDefault="003E3A37">
      <w:pPr>
        <w:pStyle w:val="Default"/>
        <w:jc w:val="both"/>
      </w:pPr>
      <w:r>
        <w:rPr>
          <w:color w:val="auto"/>
        </w:rPr>
        <w:t xml:space="preserve">     </w:t>
      </w:r>
      <w:r>
        <w:rPr>
          <w:color w:val="auto"/>
        </w:rPr>
        <w:t>Проект решения Земского собрания Грязовецкого муниципального округа «О бюджете Грязовецкого муници</w:t>
      </w:r>
      <w:r>
        <w:rPr>
          <w:color w:val="auto"/>
        </w:rPr>
        <w:t xml:space="preserve">пального округа на 2023 год и плановый период 2024 и 2025 годов» внесен на рассмотрение </w:t>
      </w:r>
      <w:r>
        <w:rPr>
          <w:color w:val="auto"/>
          <w:spacing w:val="7"/>
        </w:rPr>
        <w:t>в Земское собрание Грязовецкого муниципального округа</w:t>
      </w:r>
      <w:r>
        <w:rPr>
          <w:color w:val="auto"/>
        </w:rPr>
        <w:t xml:space="preserve"> </w:t>
      </w:r>
      <w:r>
        <w:rPr>
          <w:color w:val="auto"/>
        </w:rPr>
        <w:t xml:space="preserve">15 ноября 2022 года. </w:t>
      </w:r>
      <w:r>
        <w:rPr>
          <w:color w:val="auto"/>
        </w:rPr>
        <w:t xml:space="preserve">Перечень документов и материалов, представленных одновременно с проектом решения о бюджете,  </w:t>
      </w:r>
      <w:r>
        <w:rPr>
          <w:color w:val="auto"/>
        </w:rPr>
        <w:t>соответствует статье 184.2 Бюджетного кодекса Российской Федерации</w:t>
      </w:r>
    </w:p>
    <w:p w:rsidR="005B3049" w:rsidRDefault="003E3A37">
      <w:pPr>
        <w:pStyle w:val="Default"/>
        <w:jc w:val="both"/>
      </w:pPr>
      <w:r>
        <w:rPr>
          <w:color w:val="auto"/>
          <w:lang w:eastAsia="ru-RU"/>
        </w:rPr>
        <w:t xml:space="preserve">    Представленный проект решения ориентирован на реализацию основных направлений бюджетной и налоговой политики округа на 2023 год и на плановый период 2024 и 2025 годов, задачи которой ут</w:t>
      </w:r>
      <w:r>
        <w:rPr>
          <w:color w:val="auto"/>
          <w:lang w:eastAsia="ru-RU"/>
        </w:rPr>
        <w:t>верждены в постановлением администрации района №610 от 11.11.2022 года .</w:t>
      </w:r>
    </w:p>
    <w:p w:rsidR="005B3049" w:rsidRDefault="003E3A37">
      <w:pPr>
        <w:pStyle w:val="Default"/>
        <w:jc w:val="both"/>
      </w:pPr>
      <w:r>
        <w:rPr>
          <w:color w:val="auto"/>
          <w:lang w:eastAsia="ru-RU"/>
        </w:rPr>
        <w:t xml:space="preserve">           </w:t>
      </w:r>
      <w:r>
        <w:rPr>
          <w:color w:val="auto"/>
        </w:rPr>
        <w:t xml:space="preserve">Бюджет округа по доходам на 2023 год и на плановый период 2024 и 2025 годов в суммах соответственно 1457509,8 тыс. рублей, 1278982,7 тыс. рублей и 1256191,5 тыс. рублей </w:t>
      </w:r>
      <w:r>
        <w:rPr>
          <w:color w:val="auto"/>
        </w:rPr>
        <w:t>реален к исполнению при условии достижения показателей прогноза социально-экономического развития округа на 2023-2025 годы</w:t>
      </w:r>
    </w:p>
    <w:p w:rsidR="005B3049" w:rsidRDefault="003E3A37">
      <w:pPr>
        <w:pStyle w:val="Default"/>
        <w:jc w:val="both"/>
      </w:pPr>
      <w:r>
        <w:rPr>
          <w:color w:val="auto"/>
        </w:rPr>
        <w:t xml:space="preserve">         Бюджет округа по расходам на 2023 год и на плановый период 2024 и 2025 годов в суммах соответственно 1504927,6 тыс. рублей,</w:t>
      </w:r>
      <w:r>
        <w:rPr>
          <w:color w:val="auto"/>
        </w:rPr>
        <w:t xml:space="preserve"> 1278982,7 тыс. рублей и 1256191,5 тыс. рублей сформирован в соответствии с расходными обязательствами с учетом нормативных затрат и обоснован при условии обеспечения своевременности и полноты освоения бюджетных ассигнований, экономного и эффективного расх</w:t>
      </w:r>
      <w:r>
        <w:rPr>
          <w:color w:val="auto"/>
        </w:rPr>
        <w:t>одования бюджетных средств.</w:t>
      </w:r>
    </w:p>
    <w:p w:rsidR="005B3049" w:rsidRDefault="003E3A37">
      <w:pPr>
        <w:pStyle w:val="Default"/>
        <w:jc w:val="both"/>
      </w:pPr>
      <w:r>
        <w:rPr>
          <w:color w:val="auto"/>
        </w:rPr>
        <w:t xml:space="preserve">       Формирование расходов  бюджета округа на 2023 год и на плановый период 2024 и 2025 годов осуществлено в программной структуре расходов на основе 14 муниципальных программ округа, утвержденных Администрацией Грязовецкого </w:t>
      </w:r>
      <w:r>
        <w:rPr>
          <w:color w:val="auto"/>
        </w:rPr>
        <w:t>муниципального района.</w:t>
      </w:r>
    </w:p>
    <w:p w:rsidR="005B3049" w:rsidRDefault="003E3A37">
      <w:pPr>
        <w:pStyle w:val="Default"/>
        <w:jc w:val="both"/>
      </w:pPr>
      <w:r>
        <w:rPr>
          <w:color w:val="auto"/>
          <w:lang w:eastAsia="ru-RU"/>
        </w:rPr>
        <w:t xml:space="preserve">      Проектом решения предусмотрено формирование бюджета округа на 2023 год с дефицитом в сумме 47417,8 тыс. рублей;  </w:t>
      </w:r>
      <w:r>
        <w:rPr>
          <w:color w:val="auto"/>
          <w:lang w:eastAsia="ru-RU"/>
        </w:rPr>
        <w:t>на 2024 и 2025 года по доходам и расходам в равной сумме, или бездефицитным.</w:t>
      </w:r>
      <w:r>
        <w:rPr>
          <w:bCs/>
          <w:iCs/>
          <w:color w:val="auto"/>
          <w:lang w:eastAsia="ru-RU"/>
        </w:rPr>
        <w:t xml:space="preserve">  </w:t>
      </w:r>
    </w:p>
    <w:p w:rsidR="005B3049" w:rsidRDefault="003E3A37">
      <w:pPr>
        <w:pStyle w:val="Default"/>
        <w:jc w:val="both"/>
      </w:pPr>
      <w:r>
        <w:rPr>
          <w:bCs/>
          <w:iCs/>
          <w:color w:val="auto"/>
          <w:lang w:eastAsia="ru-RU"/>
        </w:rPr>
        <w:t xml:space="preserve">          В ходе экспертизы установ</w:t>
      </w:r>
      <w:r>
        <w:rPr>
          <w:bCs/>
          <w:iCs/>
          <w:color w:val="auto"/>
          <w:lang w:eastAsia="ru-RU"/>
        </w:rPr>
        <w:t xml:space="preserve">лены недостатки и нарушения   Бюджетного Кодекса РФ, </w:t>
      </w:r>
      <w:r>
        <w:rPr>
          <w:rFonts w:eastAsia="Arial"/>
          <w:color w:val="auto"/>
          <w:lang w:eastAsia="ru-RU"/>
        </w:rPr>
        <w:t xml:space="preserve">Приказа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назначения", </w:t>
      </w:r>
      <w:r>
        <w:rPr>
          <w:bCs/>
          <w:iCs/>
          <w:color w:val="auto"/>
          <w:lang w:eastAsia="ru-RU"/>
        </w:rPr>
        <w:t>Решения Земского собрания Грязове</w:t>
      </w:r>
      <w:r>
        <w:rPr>
          <w:bCs/>
          <w:iCs/>
          <w:color w:val="auto"/>
          <w:lang w:eastAsia="ru-RU"/>
        </w:rPr>
        <w:t xml:space="preserve">цкого округа №29 от 27.10.2022 года «О создании отраслевого (функционального) органа администрации Грязовецкого муниципального округа </w:t>
      </w:r>
      <w:r>
        <w:rPr>
          <w:bCs/>
          <w:iCs/>
          <w:color w:val="auto"/>
          <w:lang w:eastAsia="ru-RU"/>
        </w:rPr>
        <w:lastRenderedPageBreak/>
        <w:t xml:space="preserve">– Управление финансов администрации Грязовецкого муниципального округа Вологодской области».   </w:t>
      </w:r>
    </w:p>
    <w:p w:rsidR="005B3049" w:rsidRDefault="003E3A37">
      <w:pPr>
        <w:pStyle w:val="Default"/>
        <w:jc w:val="both"/>
      </w:pPr>
      <w:r>
        <w:rPr>
          <w:bCs/>
          <w:iCs/>
          <w:color w:val="auto"/>
          <w:lang w:eastAsia="ru-RU"/>
        </w:rPr>
        <w:t xml:space="preserve">        При принятии бюдже</w:t>
      </w:r>
      <w:r>
        <w:rPr>
          <w:bCs/>
          <w:iCs/>
          <w:color w:val="auto"/>
          <w:lang w:eastAsia="ru-RU"/>
        </w:rPr>
        <w:t xml:space="preserve">та округа на 2023 — 2025 года  требуется </w:t>
      </w:r>
      <w:r>
        <w:rPr>
          <w:bCs/>
          <w:iCs/>
          <w:color w:val="auto"/>
          <w:lang w:eastAsia="ru-RU"/>
        </w:rPr>
        <w:t>твердение нескольких нормативно-правовых актов отражённых в Заключении контрольно-счётной палаты района.</w:t>
      </w:r>
    </w:p>
    <w:p w:rsidR="005B3049" w:rsidRDefault="003E3A37">
      <w:pPr>
        <w:pStyle w:val="Standard"/>
        <w:autoSpaceDE w:val="0"/>
        <w:jc w:val="both"/>
      </w:pPr>
      <w:r>
        <w:rPr>
          <w:rFonts w:cs="Times New Roman"/>
          <w:bCs/>
          <w:iCs/>
          <w:lang w:eastAsia="ru-RU"/>
        </w:rPr>
        <w:t xml:space="preserve">       Заключение от 25.11.2022 года направлено Главе Грязовецкого муниципального округа, Председателю Земског</w:t>
      </w:r>
      <w:r>
        <w:rPr>
          <w:rFonts w:cs="Times New Roman"/>
          <w:bCs/>
          <w:iCs/>
          <w:lang w:eastAsia="ru-RU"/>
        </w:rPr>
        <w:t>о собрания округа,  в Управление финансов Грязовецкого муниципального района, в Администрацию Грязовецкого муниципального района.</w:t>
      </w:r>
    </w:p>
    <w:sectPr w:rsidR="005B304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3A37">
      <w:r>
        <w:separator/>
      </w:r>
    </w:p>
  </w:endnote>
  <w:endnote w:type="continuationSeparator" w:id="0">
    <w:p w:rsidR="00000000" w:rsidRDefault="003E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3A37">
      <w:r>
        <w:rPr>
          <w:color w:val="000000"/>
        </w:rPr>
        <w:separator/>
      </w:r>
    </w:p>
  </w:footnote>
  <w:footnote w:type="continuationSeparator" w:id="0">
    <w:p w:rsidR="00000000" w:rsidRDefault="003E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2823"/>
    <w:multiLevelType w:val="multilevel"/>
    <w:tmpl w:val="F496B28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66FF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3049"/>
    <w:rsid w:val="003E3A37"/>
    <w:rsid w:val="005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58324-93B2-4DC6-9198-73DC31A8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uppressAutoHyphens w:val="0"/>
      <w:ind w:firstLine="720"/>
    </w:pPr>
    <w:rPr>
      <w:szCs w:val="20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eastAsia="zh-CN" w:bidi="ar-SA"/>
    </w:rPr>
  </w:style>
  <w:style w:type="character" w:customStyle="1" w:styleId="WW8Num5z0">
    <w:name w:val="WW8Num5z0"/>
    <w:rPr>
      <w:rFonts w:ascii="Times New Roman" w:hAnsi="Times New Roman" w:cs="Times New Roman"/>
      <w:color w:val="0066FF"/>
      <w:sz w:val="24"/>
      <w:szCs w:val="24"/>
      <w:lang w:eastAsia="ru-RU"/>
    </w:rPr>
  </w:style>
  <w:style w:type="character" w:customStyle="1" w:styleId="WW8Num5z1">
    <w:name w:val="WW8Num5z1"/>
  </w:style>
  <w:style w:type="character" w:customStyle="1" w:styleId="WW8Num5z2">
    <w:name w:val="WW8Num5z2"/>
    <w:rPr>
      <w:rFonts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5">
    <w:name w:val="WW8Num5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2022-12-08T13:48:00Z</dcterms:created>
  <dcterms:modified xsi:type="dcterms:W3CDTF">2022-12-08T13:48:00Z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